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64" w:lineRule="auto"/>
      </w:pPr>
      <w:r>
        <w:rPr>
          <w:rFonts w:ascii="Calibri" w:hAnsi="Calibri" w:eastAsia="Heiti TC"/>
          <w:b/>
          <w:i w:val="0"/>
          <w:color w:val="285B9D"/>
          <w:sz w:val="20"/>
        </w:rPr>
        <w:t>AI Institute</w:t>
      </w:r>
    </w:p>
    <w:p>
      <w:pPr>
        <w:pStyle w:val="Title"/>
        <w:spacing w:before="0" w:after="80" w:line="264" w:lineRule="auto"/>
      </w:pPr>
      <w:r>
        <w:rPr>
          <w:rFonts w:ascii="Calibri" w:hAnsi="Calibri" w:eastAsia="Heiti TC"/>
          <w:b w:val="0"/>
          <w:i w:val="0"/>
        </w:rPr>
        <w:t>每日投资研究简报</w:t>
      </w:r>
    </w:p>
    <w:p>
      <w:pPr>
        <w:pStyle w:val="Subtitle"/>
        <w:spacing w:before="0" w:after="240" w:line="264" w:lineRule="auto"/>
      </w:pPr>
      <w:r>
        <w:rPr>
          <w:rFonts w:ascii="Calibri" w:hAnsi="Calibri" w:eastAsia="Heiti TC"/>
          <w:b w:val="0"/>
          <w:i w:val="0"/>
        </w:rPr>
        <w:t>2026-07-30 · webpage screenshot DOCX edition</w:t>
      </w:r>
    </w:p>
    <w:p>
      <w:pPr>
        <w:spacing w:before="0" w:after="160" w:line="264" w:lineRule="auto"/>
      </w:pPr>
      <w:r>
        <w:rPr>
          <w:rFonts w:ascii="Calibri" w:hAnsi="Calibri" w:eastAsia="Heiti TC"/>
          <w:b/>
          <w:i w:val="0"/>
          <w:color w:val="0B2545"/>
          <w:sz w:val="34"/>
        </w:rPr>
        <w:t>宏观通胀传导仍是今日主线，AI 基础设施提供第二层验证。</w:t>
      </w:r>
    </w:p>
    <w:p>
      <w:pPr>
        <w:spacing w:before="0" w:after="240" w:line="264" w:lineRule="auto"/>
      </w:pPr>
      <w:r>
        <w:rPr>
          <w:rFonts w:ascii="Calibri" w:hAnsi="Calibri" w:eastAsia="Heiti TC"/>
          <w:b w:val="0"/>
          <w:i w:val="0"/>
          <w:color w:val="334155"/>
          <w:sz w:val="22"/>
        </w:rPr>
        <w:t>2026-07-30 共纳入 66 篇中文研究结果，覆盖 0 位活跃分析师和 5 条主要行业链，较 2026-07-29 的主题变化可在右侧动量表中核对。简报优先呈现可被报告链接追溯的结论，而不是孤立摘要。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vAlign w:val="center"/>
            <w:shd w:fill="F8FAFC"/>
          </w:tcPr>
          <w:p>
            <w:pPr>
              <w:spacing w:after="40"/>
            </w:pPr>
            <w:r>
              <w:rPr>
                <w:rFonts w:ascii="Calibri" w:hAnsi="Calibri" w:eastAsia="Heiti TC"/>
                <w:b/>
                <w:color w:val="667085"/>
                <w:sz w:val="17"/>
              </w:rPr>
              <w:t>今日报告</w:t>
              <w:br/>
            </w:r>
            <w:r>
              <w:rPr>
                <w:rFonts w:ascii="Calibri" w:hAnsi="Calibri" w:eastAsia="Heiti TC"/>
                <w:b/>
                <w:color w:val="285B9D"/>
                <w:sz w:val="36"/>
              </w:rPr>
              <w:t>66</w:t>
            </w:r>
          </w:p>
        </w:tc>
        <w:tc>
          <w:tcPr>
            <w:tcW w:type="dxa" w:w="2340"/>
            <w:vAlign w:val="center"/>
            <w:shd w:fill="F8FAFC"/>
          </w:tcPr>
          <w:p>
            <w:pPr>
              <w:spacing w:after="40"/>
            </w:pPr>
            <w:r>
              <w:rPr>
                <w:rFonts w:ascii="Calibri" w:hAnsi="Calibri" w:eastAsia="Heiti TC"/>
                <w:b/>
                <w:color w:val="667085"/>
                <w:sz w:val="17"/>
              </w:rPr>
              <w:t>活跃分析师</w:t>
              <w:br/>
            </w:r>
            <w:r>
              <w:rPr>
                <w:rFonts w:ascii="Calibri" w:hAnsi="Calibri" w:eastAsia="Heiti TC"/>
                <w:b/>
                <w:color w:val="237A5B"/>
                <w:sz w:val="36"/>
              </w:rPr>
              <w:t>0</w:t>
            </w:r>
          </w:p>
        </w:tc>
        <w:tc>
          <w:tcPr>
            <w:tcW w:type="dxa" w:w="2340"/>
            <w:vAlign w:val="center"/>
            <w:shd w:fill="F8FAFC"/>
          </w:tcPr>
          <w:p>
            <w:pPr>
              <w:spacing w:after="40"/>
            </w:pPr>
            <w:r>
              <w:rPr>
                <w:rFonts w:ascii="Calibri" w:hAnsi="Calibri" w:eastAsia="Heiti TC"/>
                <w:b/>
                <w:color w:val="667085"/>
                <w:sz w:val="17"/>
              </w:rPr>
              <w:t>活跃链条</w:t>
              <w:br/>
            </w:r>
            <w:r>
              <w:rPr>
                <w:rFonts w:ascii="Calibri" w:hAnsi="Calibri" w:eastAsia="Heiti TC"/>
                <w:b/>
                <w:color w:val="A8731B"/>
                <w:sz w:val="36"/>
              </w:rPr>
              <w:t>5</w:t>
            </w:r>
          </w:p>
        </w:tc>
        <w:tc>
          <w:tcPr>
            <w:tcW w:type="dxa" w:w="2340"/>
            <w:vAlign w:val="center"/>
            <w:shd w:fill="F8FAFC"/>
          </w:tcPr>
          <w:p>
            <w:pPr>
              <w:spacing w:after="40"/>
            </w:pPr>
            <w:r>
              <w:rPr>
                <w:rFonts w:ascii="Calibri" w:hAnsi="Calibri" w:eastAsia="Heiti TC"/>
                <w:b/>
                <w:color w:val="667085"/>
                <w:sz w:val="17"/>
              </w:rPr>
              <w:t>风险信号</w:t>
              <w:br/>
            </w:r>
            <w:r>
              <w:rPr>
                <w:rFonts w:ascii="Calibri" w:hAnsi="Calibri" w:eastAsia="Heiti TC"/>
                <w:b/>
                <w:color w:val="B43D49"/>
                <w:sz w:val="36"/>
              </w:rPr>
              <w:t>16</w:t>
            </w:r>
          </w:p>
        </w:tc>
      </w:tr>
    </w:tbl>
    <w:p>
      <w:pPr>
        <w:spacing w:before="0" w:after="160" w:line="264" w:lineRule="auto"/>
      </w:pPr>
    </w:p>
    <w:p>
      <w:pPr>
        <w:spacing w:before="40" w:after="60"/>
        <w:jc w:val="center"/>
      </w:pPr>
      <w:r>
        <w:drawing>
          <wp:inline xmlns:a="http://schemas.openxmlformats.org/drawingml/2006/main" xmlns:pic="http://schemas.openxmlformats.org/drawingml/2006/picture">
            <wp:extent cx="5806440" cy="38709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ily-brief-2026-07-30-web-summar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870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200" w:line="264" w:lineRule="auto"/>
        <w:jc w:val="center"/>
      </w:pPr>
      <w:r>
        <w:rPr>
          <w:rFonts w:ascii="Calibri" w:hAnsi="Calibri" w:eastAsia="Heiti TC"/>
          <w:b w:val="0"/>
          <w:i/>
          <w:color w:val="667085"/>
          <w:sz w:val="17"/>
        </w:rPr>
        <w:t>Figure 1. Webpage snapshot of the daily synthesis and key operating metrics.</w:t>
      </w:r>
    </w:p>
    <w:p>
      <w:pPr>
        <w:pStyle w:val="Heading1"/>
      </w:pPr>
      <w:r>
        <w:t>1. 综合研判</w:t>
      </w:r>
    </w:p>
    <w:p>
      <w:pPr>
        <w:spacing w:after="140"/>
        <w:ind w:left="259" w:hanging="259"/>
      </w:pPr>
      <w:r>
        <w:rPr>
          <w:rFonts w:ascii="Calibri" w:hAnsi="Calibri" w:eastAsia="Heiti TC"/>
          <w:b/>
          <w:color w:val="285B9D"/>
          <w:sz w:val="21"/>
        </w:rPr>
        <w:t xml:space="preserve">主线判断: </w:t>
      </w:r>
      <w:hyperlink r:id="rId12">
        <w:r>
          <w:rPr>
            <w:color w:val="285B9D"/>
            <w:u w:val="single"/>
            <w:rFonts w:eastAsia="Heiti TC" w:ascii="Calibri" w:hAnsi="Calibri"/>
          </w:rPr>
          <w:t>2026-07-30 — 解除电力节流的现实节奏 是今日最高权重结论，核心证据来自 未识别，关联 AI 基础设施。</w:t>
        </w:r>
      </w:hyperlink>
    </w:p>
    <w:p>
      <w:pPr>
        <w:spacing w:after="140"/>
        <w:ind w:left="259" w:hanging="259"/>
      </w:pPr>
      <w:r>
        <w:rPr>
          <w:rFonts w:ascii="Calibri" w:hAnsi="Calibri" w:eastAsia="Heiti TC"/>
          <w:b/>
          <w:color w:val="285B9D"/>
          <w:sz w:val="21"/>
        </w:rPr>
        <w:t xml:space="preserve">变化信号: </w:t>
      </w:r>
      <w:r>
        <w:rPr>
          <w:rFonts w:ascii="Calibri" w:hAnsi="Calibri" w:eastAsia="Heiti TC"/>
          <w:color w:val="111827"/>
          <w:sz w:val="21"/>
        </w:rPr>
        <w:t>通胀 今日 降温，当日计数 62，前一日计数 342。</w:t>
      </w:r>
    </w:p>
    <w:p>
      <w:pPr>
        <w:spacing w:after="140"/>
        <w:ind w:left="259" w:hanging="259"/>
      </w:pPr>
      <w:r>
        <w:rPr>
          <w:rFonts w:ascii="Calibri" w:hAnsi="Calibri" w:eastAsia="Heiti TC"/>
          <w:b/>
          <w:color w:val="285B9D"/>
          <w:sz w:val="21"/>
        </w:rPr>
        <w:t xml:space="preserve">风险焦点: </w:t>
      </w:r>
      <w:hyperlink r:id="rId13">
        <w:r>
          <w:rPr>
            <w:color w:val="285B9D"/>
            <w:u w:val="single"/>
            <w:rFonts w:eastAsia="Heiti TC" w:ascii="Calibri" w:hAnsi="Calibri"/>
          </w:rPr>
          <w:t>风险矩阵最需要跟踪的是 AI 基础设施：数据中心电力、电网和部署瓶颈对TSMC需求兑现的约束。</w:t>
        </w:r>
      </w:hyperlink>
    </w:p>
    <w:p>
      <w:pPr>
        <w:spacing w:after="140"/>
        <w:ind w:left="259" w:hanging="259"/>
      </w:pPr>
      <w:r>
        <w:rPr>
          <w:rFonts w:ascii="Calibri" w:hAnsi="Calibri" w:eastAsia="Heiti TC"/>
          <w:b/>
          <w:color w:val="285B9D"/>
          <w:sz w:val="21"/>
        </w:rPr>
        <w:t xml:space="preserve">证据密度: </w:t>
      </w:r>
      <w:hyperlink r:id="rId14">
        <w:r>
          <w:rPr>
            <w:color w:val="285B9D"/>
            <w:u w:val="single"/>
            <w:rFonts w:eastAsia="Heiti TC" w:ascii="Calibri" w:hAnsi="Calibri"/>
          </w:rPr>
          <w:t>宏观通胀传导 今日 64 条、近七日 2104 条，风险信号 1321 条。</w:t>
        </w:r>
      </w:hyperlink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vAlign w:val="center"/>
            <w:shd w:fill="FFF7E6"/>
          </w:tcPr>
          <w:p>
            <w:r>
              <w:rPr>
                <w:rFonts w:ascii="Calibri" w:hAnsi="Calibri" w:eastAsia="Heiti TC"/>
                <w:b/>
                <w:color w:val="7A5A00"/>
                <w:sz w:val="21"/>
              </w:rPr>
              <w:t xml:space="preserve">投资解读: </w:t>
            </w:r>
            <w:r>
              <w:rPr>
                <w:rFonts w:ascii="Calibri" w:hAnsi="Calibri" w:eastAsia="Heiti TC"/>
                <w:color w:val="7C2D12"/>
                <w:sz w:val="21"/>
              </w:rPr>
              <w:t>投资含义上，本日简报更适合作为主题和风险筛选器：先看行业链雷达确认资金关注方向，再用风险矩阵排除证据不足或约束过强的交易表达。</w:t>
            </w:r>
          </w:p>
        </w:tc>
      </w:tr>
    </w:tbl>
    <w:p>
      <w:pPr>
        <w:spacing w:before="0" w:after="120" w:line="264" w:lineRule="auto"/>
      </w:pPr>
    </w:p>
    <w:p>
      <w:pPr>
        <w:pStyle w:val="Heading1"/>
      </w:pPr>
      <w:r>
        <w:t>2. 可视化仪表板</w:t>
      </w:r>
    </w:p>
    <w:p>
      <w:pPr>
        <w:spacing w:before="40" w:after="60"/>
        <w:jc w:val="center"/>
      </w:pPr>
      <w:r>
        <w:drawing>
          <wp:inline xmlns:a="http://schemas.openxmlformats.org/drawingml/2006/main" xmlns:pic="http://schemas.openxmlformats.org/drawingml/2006/picture">
            <wp:extent cx="5806440" cy="38709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ily-brief-2026-07-30-web-tren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870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200" w:line="264" w:lineRule="auto"/>
        <w:jc w:val="center"/>
      </w:pPr>
      <w:r>
        <w:rPr>
          <w:rFonts w:ascii="Calibri" w:hAnsi="Calibri" w:eastAsia="Heiti TC"/>
          <w:b w:val="0"/>
          <w:i/>
          <w:color w:val="667085"/>
          <w:sz w:val="17"/>
        </w:rPr>
        <w:t>Figure 2. Webpage snapshot of topic momentum and daily change signals.</w:t>
      </w:r>
    </w:p>
    <w:p>
      <w:pPr>
        <w:spacing w:before="40" w:after="60"/>
        <w:jc w:val="center"/>
      </w:pPr>
      <w:r>
        <w:drawing>
          <wp:inline xmlns:a="http://schemas.openxmlformats.org/drawingml/2006/main" xmlns:pic="http://schemas.openxmlformats.org/drawingml/2006/picture">
            <wp:extent cx="5806440" cy="387096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ily-brief-2026-07-30-web-chain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870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200" w:line="264" w:lineRule="auto"/>
        <w:jc w:val="center"/>
      </w:pPr>
      <w:r>
        <w:rPr>
          <w:rFonts w:ascii="Calibri" w:hAnsi="Calibri" w:eastAsia="Heiti TC"/>
          <w:b w:val="0"/>
          <w:i/>
          <w:color w:val="667085"/>
          <w:sz w:val="17"/>
        </w:rPr>
        <w:t>Figure 3. Webpage snapshot of industry-chain heat and evidence links.</w:t>
      </w:r>
    </w:p>
    <w:p>
      <w:r>
        <w:br w:type="page"/>
      </w:r>
    </w:p>
    <w:p>
      <w:pPr>
        <w:spacing w:before="40" w:after="60"/>
        <w:jc w:val="center"/>
      </w:pPr>
      <w:r>
        <w:drawing>
          <wp:inline xmlns:a="http://schemas.openxmlformats.org/drawingml/2006/main" xmlns:pic="http://schemas.openxmlformats.org/drawingml/2006/picture">
            <wp:extent cx="5806440" cy="387096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ily-brief-2026-07-30-web-risk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870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200" w:line="264" w:lineRule="auto"/>
        <w:jc w:val="center"/>
      </w:pPr>
      <w:r>
        <w:rPr>
          <w:rFonts w:ascii="Calibri" w:hAnsi="Calibri" w:eastAsia="Heiti TC"/>
          <w:b w:val="0"/>
          <w:i/>
          <w:color w:val="667085"/>
          <w:sz w:val="17"/>
        </w:rPr>
        <w:t>Figure 4. Webpage snapshot of the risk matrix and pressure-test items.</w:t>
      </w:r>
    </w:p>
    <w:p>
      <w:r>
        <w:br w:type="page"/>
      </w:r>
    </w:p>
    <w:p>
      <w:pPr>
        <w:spacing w:before="40" w:after="60"/>
        <w:jc w:val="center"/>
      </w:pPr>
      <w:r>
        <w:drawing>
          <wp:inline xmlns:a="http://schemas.openxmlformats.org/drawingml/2006/main" xmlns:pic="http://schemas.openxmlformats.org/drawingml/2006/picture">
            <wp:extent cx="5806440" cy="387096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ily-brief-2026-07-30-web-heatmap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870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200" w:line="264" w:lineRule="auto"/>
        <w:jc w:val="center"/>
      </w:pPr>
      <w:r>
        <w:rPr>
          <w:rFonts w:ascii="Calibri" w:hAnsi="Calibri" w:eastAsia="Heiti TC"/>
          <w:b w:val="0"/>
          <w:i/>
          <w:color w:val="667085"/>
          <w:sz w:val="17"/>
        </w:rPr>
        <w:t>Figure 5. Webpage snapshot of analyst activity and ranked conclusions.</w:t>
      </w:r>
    </w:p>
    <w:p>
      <w:pPr>
        <w:pStyle w:val="Heading1"/>
      </w:pPr>
      <w:r>
        <w:t>3. 今日核心结论</w:t>
      </w:r>
    </w:p>
    <w:p>
      <w:pPr>
        <w:spacing w:before="0" w:after="40" w:line="264" w:lineRule="auto"/>
      </w:pPr>
      <w:r>
        <w:rPr>
          <w:rFonts w:ascii="Calibri" w:hAnsi="Calibri" w:eastAsia="Heiti TC"/>
          <w:b/>
          <w:i w:val="0"/>
          <w:color w:val="0B2545"/>
          <w:sz w:val="23"/>
        </w:rPr>
        <w:t>1. 2026-07-30 — 解除电力节流的现实节奏</w:t>
      </w:r>
    </w:p>
    <w:p>
      <w:pPr>
        <w:spacing w:before="0" w:after="40" w:line="264" w:lineRule="auto"/>
      </w:pPr>
      <w:r>
        <w:rPr>
          <w:rFonts w:ascii="Calibri" w:hAnsi="Calibri" w:eastAsia="Heiti TC"/>
          <w:b w:val="0"/>
          <w:i w:val="0"/>
          <w:color w:val="667085"/>
          <w:sz w:val="17"/>
        </w:rPr>
        <w:t>未识别 · AI 基础设施 · score 50.0</w:t>
      </w:r>
    </w:p>
    <w:p>
      <w:pPr>
        <w:spacing w:before="0" w:after="100" w:line="264" w:lineRule="auto"/>
      </w:pPr>
      <w:r>
        <w:rPr>
          <w:rFonts w:ascii="Calibri" w:hAnsi="Calibri" w:eastAsia="Heiti TC"/>
          <w:b w:val="0"/>
          <w:i w:val="0"/>
          <w:color w:val="334155"/>
          <w:sz w:val="20"/>
        </w:rPr>
        <w:t>研究记录 · 分析师： 公用事业分析师（ utilities-analyst ） 工作日期： 2026-07-30（Asia/Singapore） · 立场： 压力测试（stress-test） 根主题： HBM 市场供需平衡的阶段性特征——2028...</w:t>
      </w:r>
    </w:p>
    <w:p>
      <w:pPr>
        <w:spacing w:before="0" w:after="160" w:line="264" w:lineRule="auto"/>
      </w:pPr>
      <w:r>
        <w:rPr>
          <w:rFonts w:ascii="Calibri" w:hAnsi="Calibri" w:eastAsia="Heiti TC"/>
          <w:b w:val="0"/>
          <w:i w:val="0"/>
          <w:color w:val="667085"/>
          <w:sz w:val="17"/>
        </w:rPr>
        <w:t xml:space="preserve">Report: </w:t>
      </w:r>
      <w:hyperlink r:id="rId12">
        <w:r>
          <w:rPr>
            <w:color w:val="285B9D"/>
            <w:u w:val="single"/>
            <w:rFonts w:eastAsia="Heiti TC" w:ascii="Calibri" w:hAnsi="Calibri"/>
          </w:rPr>
          <w:t>reports/archive-0e65fe1c87bb</w:t>
        </w:r>
      </w:hyperlink>
    </w:p>
    <w:p>
      <w:pPr>
        <w:spacing w:before="0" w:after="40" w:line="264" w:lineRule="auto"/>
      </w:pPr>
      <w:r>
        <w:rPr>
          <w:rFonts w:ascii="Calibri" w:hAnsi="Calibri" w:eastAsia="Heiti TC"/>
          <w:b/>
          <w:i w:val="0"/>
          <w:color w:val="0B2545"/>
          <w:sz w:val="23"/>
        </w:rPr>
        <w:t>2. 2026-07-30 美股AI电力设备仓位压力测试</w:t>
      </w:r>
    </w:p>
    <w:p>
      <w:pPr>
        <w:spacing w:before="0" w:after="40" w:line="264" w:lineRule="auto"/>
      </w:pPr>
      <w:r>
        <w:rPr>
          <w:rFonts w:ascii="Calibri" w:hAnsi="Calibri" w:eastAsia="Heiti TC"/>
          <w:b w:val="0"/>
          <w:i w:val="0"/>
          <w:color w:val="667085"/>
          <w:sz w:val="17"/>
        </w:rPr>
        <w:t>未识别 · 宏观通胀传导 · score 44.7</w:t>
      </w:r>
    </w:p>
    <w:p>
      <w:pPr>
        <w:spacing w:before="0" w:after="100" w:line="264" w:lineRule="auto"/>
      </w:pPr>
      <w:r>
        <w:rPr>
          <w:rFonts w:ascii="Calibri" w:hAnsi="Calibri" w:eastAsia="Heiti TC"/>
          <w:b w:val="0"/>
          <w:i w:val="0"/>
          <w:color w:val="334155"/>
          <w:sz w:val="20"/>
        </w:rPr>
        <w:t>研究记录 · 分析师: AI基础设施分析师 ( ai-infrastructure-analyst ) 工作日期: 2026-07-30 (Asia/Singapore) · 立场: stress-test</w:t>
      </w:r>
    </w:p>
    <w:p>
      <w:pPr>
        <w:spacing w:before="0" w:after="160" w:line="264" w:lineRule="auto"/>
      </w:pPr>
      <w:r>
        <w:rPr>
          <w:rFonts w:ascii="Calibri" w:hAnsi="Calibri" w:eastAsia="Heiti TC"/>
          <w:b w:val="0"/>
          <w:i w:val="0"/>
          <w:color w:val="667085"/>
          <w:sz w:val="17"/>
        </w:rPr>
        <w:t xml:space="preserve">Report: </w:t>
      </w:r>
      <w:hyperlink r:id="rId19">
        <w:r>
          <w:rPr>
            <w:color w:val="285B9D"/>
            <w:u w:val="single"/>
            <w:rFonts w:eastAsia="Heiti TC" w:ascii="Calibri" w:hAnsi="Calibri"/>
          </w:rPr>
          <w:t>reports/archive-72b276b899e5</w:t>
        </w:r>
      </w:hyperlink>
    </w:p>
    <w:p>
      <w:pPr>
        <w:spacing w:before="0" w:after="40" w:line="264" w:lineRule="auto"/>
      </w:pPr>
      <w:r>
        <w:rPr>
          <w:rFonts w:ascii="Calibri" w:hAnsi="Calibri" w:eastAsia="Heiti TC"/>
          <w:b/>
          <w:i w:val="0"/>
          <w:color w:val="0B2545"/>
          <w:sz w:val="23"/>
        </w:rPr>
        <w:t>3. 2026-07-30 — A 股市场结构下的 HBM 与 AI 电力链交易表达</w:t>
      </w:r>
    </w:p>
    <w:p>
      <w:pPr>
        <w:spacing w:before="0" w:after="40" w:line="264" w:lineRule="auto"/>
      </w:pPr>
      <w:r>
        <w:rPr>
          <w:rFonts w:ascii="Calibri" w:hAnsi="Calibri" w:eastAsia="Heiti TC"/>
          <w:b w:val="0"/>
          <w:i w:val="0"/>
          <w:color w:val="667085"/>
          <w:sz w:val="17"/>
        </w:rPr>
        <w:t>未识别 · AI 基础设施 · score 42.8</w:t>
      </w:r>
    </w:p>
    <w:p>
      <w:pPr>
        <w:spacing w:before="0" w:after="100" w:line="264" w:lineRule="auto"/>
      </w:pPr>
      <w:r>
        <w:rPr>
          <w:rFonts w:ascii="Calibri" w:hAnsi="Calibri" w:eastAsia="Heiti TC"/>
          <w:b w:val="0"/>
          <w:i w:val="0"/>
          <w:color w:val="334155"/>
          <w:sz w:val="20"/>
        </w:rPr>
        <w:t>2026-07-30 — A 股市场结构下的 HBM 与 AI 电力链交易表达</w:t>
      </w:r>
    </w:p>
    <w:p>
      <w:pPr>
        <w:spacing w:before="0" w:after="160" w:line="264" w:lineRule="auto"/>
      </w:pPr>
      <w:r>
        <w:rPr>
          <w:rFonts w:ascii="Calibri" w:hAnsi="Calibri" w:eastAsia="Heiti TC"/>
          <w:b w:val="0"/>
          <w:i w:val="0"/>
          <w:color w:val="667085"/>
          <w:sz w:val="17"/>
        </w:rPr>
        <w:t xml:space="preserve">Report: </w:t>
      </w:r>
      <w:hyperlink r:id="rId20">
        <w:r>
          <w:rPr>
            <w:color w:val="285B9D"/>
            <w:u w:val="single"/>
            <w:rFonts w:eastAsia="Heiti TC" w:ascii="Calibri" w:hAnsi="Calibri"/>
          </w:rPr>
          <w:t>reports/archive-9e10df86d89a</w:t>
        </w:r>
      </w:hyperlink>
    </w:p>
    <w:p>
      <w:pPr>
        <w:spacing w:before="0" w:after="40" w:line="264" w:lineRule="auto"/>
      </w:pPr>
      <w:r>
        <w:rPr>
          <w:rFonts w:ascii="Calibri" w:hAnsi="Calibri" w:eastAsia="Heiti TC"/>
          <w:b/>
          <w:i w:val="0"/>
          <w:color w:val="0B2545"/>
          <w:sz w:val="23"/>
        </w:rPr>
        <w:t>4. research discussion Session Brief</w:t>
      </w:r>
    </w:p>
    <w:p>
      <w:pPr>
        <w:spacing w:before="0" w:after="40" w:line="264" w:lineRule="auto"/>
      </w:pPr>
      <w:r>
        <w:rPr>
          <w:rFonts w:ascii="Calibri" w:hAnsi="Calibri" w:eastAsia="Heiti TC"/>
          <w:b w:val="0"/>
          <w:i w:val="0"/>
          <w:color w:val="667085"/>
          <w:sz w:val="17"/>
        </w:rPr>
        <w:t>未识别 · 宏观通胀传导 · score 42.1</w:t>
      </w:r>
    </w:p>
    <w:p>
      <w:pPr>
        <w:spacing w:before="0" w:after="100" w:line="264" w:lineRule="auto"/>
      </w:pPr>
      <w:r>
        <w:rPr>
          <w:rFonts w:ascii="Calibri" w:hAnsi="Calibri" w:eastAsia="Heiti TC"/>
          <w:b w:val="0"/>
          <w:i w:val="0"/>
          <w:color w:val="334155"/>
          <w:sz w:val="20"/>
        </w:rPr>
        <w:t>Board ID: 35cd6124-1630-47e3-a761-a575c5349265 - Shared Agent Route session: 575ea309-1a63-46cf-ad01-f59065594984 - Root topic: 2026-07-30美国7月FOMC按兵不动后的全球利率与美元风险...</w:t>
      </w:r>
    </w:p>
    <w:p>
      <w:pPr>
        <w:spacing w:before="0" w:after="160" w:line="264" w:lineRule="auto"/>
      </w:pPr>
      <w:r>
        <w:rPr>
          <w:rFonts w:ascii="Calibri" w:hAnsi="Calibri" w:eastAsia="Heiti TC"/>
          <w:b w:val="0"/>
          <w:i w:val="0"/>
          <w:color w:val="667085"/>
          <w:sz w:val="17"/>
        </w:rPr>
        <w:t xml:space="preserve">Report: </w:t>
      </w:r>
      <w:hyperlink r:id="rId21">
        <w:r>
          <w:rPr>
            <w:color w:val="285B9D"/>
            <w:u w:val="single"/>
            <w:rFonts w:eastAsia="Heiti TC" w:ascii="Calibri" w:hAnsi="Calibri"/>
          </w:rPr>
          <w:t>reports/archive-6e4c2775eb89</w:t>
        </w:r>
      </w:hyperlink>
    </w:p>
    <w:p>
      <w:pPr>
        <w:spacing w:before="0" w:after="40" w:line="264" w:lineRule="auto"/>
      </w:pPr>
      <w:r>
        <w:rPr>
          <w:rFonts w:ascii="Calibri" w:hAnsi="Calibri" w:eastAsia="Heiti TC"/>
          <w:b/>
          <w:i w:val="0"/>
          <w:color w:val="0B2545"/>
          <w:sz w:val="23"/>
        </w:rPr>
        <w:t>5. 日报总编晨间标题核查：跨分析师议题提案</w:t>
      </w:r>
    </w:p>
    <w:p>
      <w:pPr>
        <w:spacing w:before="0" w:after="40" w:line="264" w:lineRule="auto"/>
      </w:pPr>
      <w:r>
        <w:rPr>
          <w:rFonts w:ascii="Calibri" w:hAnsi="Calibri" w:eastAsia="Heiti TC"/>
          <w:b w:val="0"/>
          <w:i w:val="0"/>
          <w:color w:val="667085"/>
          <w:sz w:val="17"/>
        </w:rPr>
        <w:t>未识别 · 宏观通胀传导 · score 40.7</w:t>
      </w:r>
    </w:p>
    <w:p>
      <w:pPr>
        <w:spacing w:before="0" w:after="100" w:line="264" w:lineRule="auto"/>
      </w:pPr>
      <w:r>
        <w:rPr>
          <w:rFonts w:ascii="Calibri" w:hAnsi="Calibri" w:eastAsia="Heiti TC"/>
          <w:b w:val="0"/>
          <w:i w:val="0"/>
          <w:color w:val="334155"/>
          <w:sz w:val="20"/>
        </w:rPr>
        <w:t>锚定日期：2026-07-30（本地 shell date +%Y-%m-%d ）。本报告中的“今日 / 隔夜 / 上一交易日 / 本周”均按该日期解释。上游分析师包 recent reports.md 已成功拉取并逐段阅读，文件为 922 行...</w:t>
      </w:r>
    </w:p>
    <w:p>
      <w:pPr>
        <w:spacing w:before="0" w:after="160" w:line="264" w:lineRule="auto"/>
      </w:pPr>
      <w:r>
        <w:rPr>
          <w:rFonts w:ascii="Calibri" w:hAnsi="Calibri" w:eastAsia="Heiti TC"/>
          <w:b w:val="0"/>
          <w:i w:val="0"/>
          <w:color w:val="667085"/>
          <w:sz w:val="17"/>
        </w:rPr>
        <w:t xml:space="preserve">Report: </w:t>
      </w:r>
      <w:hyperlink r:id="rId22">
        <w:r>
          <w:rPr>
            <w:color w:val="285B9D"/>
            <w:u w:val="single"/>
            <w:rFonts w:eastAsia="Heiti TC" w:ascii="Calibri" w:hAnsi="Calibri"/>
          </w:rPr>
          <w:t>reports/archive-43fa58ad1ed2</w:t>
        </w:r>
      </w:hyperlink>
    </w:p>
    <w:p>
      <w:pPr>
        <w:spacing w:before="0" w:after="40" w:line="264" w:lineRule="auto"/>
      </w:pPr>
      <w:r>
        <w:rPr>
          <w:rFonts w:ascii="Calibri" w:hAnsi="Calibri" w:eastAsia="Heiti TC"/>
          <w:b/>
          <w:i w:val="0"/>
          <w:color w:val="0B2545"/>
          <w:sz w:val="23"/>
        </w:rPr>
        <w:t>6. 偏鹰Fed按兵不动后的美元传导</w:t>
      </w:r>
    </w:p>
    <w:p>
      <w:pPr>
        <w:spacing w:before="0" w:after="40" w:line="264" w:lineRule="auto"/>
      </w:pPr>
      <w:r>
        <w:rPr>
          <w:rFonts w:ascii="Calibri" w:hAnsi="Calibri" w:eastAsia="Heiti TC"/>
          <w:b w:val="0"/>
          <w:i w:val="0"/>
          <w:color w:val="667085"/>
          <w:sz w:val="17"/>
        </w:rPr>
        <w:t>未识别 · AI 基础设施 · score 40.2</w:t>
      </w:r>
    </w:p>
    <w:p>
      <w:pPr>
        <w:spacing w:before="0" w:after="100" w:line="264" w:lineRule="auto"/>
      </w:pPr>
      <w:r>
        <w:rPr>
          <w:rFonts w:ascii="Calibri" w:hAnsi="Calibri" w:eastAsia="Heiti TC"/>
          <w:b w:val="0"/>
          <w:i w:val="0"/>
          <w:color w:val="334155"/>
          <w:sz w:val="20"/>
        </w:rPr>
        <w:t>研究记录 分析师： 全球宏观分析师（ global-macro ） · 立场： 压力测试（stress-test） 工作日期（Asia/Singapore）： 2026-07-30 问题： 如果7月Fed按兵不动是偏鹰而非偏鸽，哪些汇率对最容...</w:t>
      </w:r>
    </w:p>
    <w:p>
      <w:pPr>
        <w:spacing w:before="0" w:after="160" w:line="264" w:lineRule="auto"/>
      </w:pPr>
      <w:r>
        <w:rPr>
          <w:rFonts w:ascii="Calibri" w:hAnsi="Calibri" w:eastAsia="Heiti TC"/>
          <w:b w:val="0"/>
          <w:i w:val="0"/>
          <w:color w:val="667085"/>
          <w:sz w:val="17"/>
        </w:rPr>
        <w:t xml:space="preserve">Report: </w:t>
      </w:r>
      <w:hyperlink r:id="rId23">
        <w:r>
          <w:rPr>
            <w:color w:val="285B9D"/>
            <w:u w:val="single"/>
            <w:rFonts w:eastAsia="Heiti TC" w:ascii="Calibri" w:hAnsi="Calibri"/>
          </w:rPr>
          <w:t>reports/archive-8f84ccc58f7a</w:t>
        </w:r>
      </w:hyperlink>
    </w:p>
    <w:p>
      <w:pPr>
        <w:pStyle w:val="Heading1"/>
      </w:pPr>
      <w:r>
        <w:t>4. 重点跟踪事项</w:t>
      </w:r>
    </w:p>
    <w:p>
      <w:pPr>
        <w:spacing w:before="0" w:after="40" w:line="264" w:lineRule="auto"/>
      </w:pPr>
      <w:r>
        <w:rPr>
          <w:rFonts w:ascii="Calibri" w:hAnsi="Calibri" w:eastAsia="Heiti TC"/>
          <w:b/>
          <w:i w:val="0"/>
          <w:color w:val="0B2545"/>
          <w:sz w:val="22"/>
        </w:rPr>
        <w:t>数据中心电力、电网和部署瓶颈对TSMC需求兑现的约束</w:t>
      </w:r>
    </w:p>
    <w:p>
      <w:pPr>
        <w:spacing w:before="0" w:after="60" w:line="264" w:lineRule="auto"/>
      </w:pPr>
      <w:r>
        <w:rPr>
          <w:rFonts w:ascii="Calibri" w:hAnsi="Calibri" w:eastAsia="Heiti TC"/>
          <w:b w:val="0"/>
          <w:i w:val="0"/>
          <w:color w:val="334155"/>
          <w:sz w:val="20"/>
        </w:rPr>
        <w:t>AI 基础设施，影响 5 / 概率 3</w:t>
      </w:r>
    </w:p>
    <w:p>
      <w:pPr>
        <w:spacing w:before="0" w:after="160" w:line="264" w:lineRule="auto"/>
      </w:pPr>
      <w:r>
        <w:rPr>
          <w:rFonts w:ascii="Calibri" w:hAnsi="Calibri" w:eastAsia="Heiti TC"/>
          <w:b w:val="0"/>
          <w:i w:val="0"/>
          <w:color w:val="667085"/>
          <w:sz w:val="17"/>
        </w:rPr>
        <w:t xml:space="preserve">Report: </w:t>
      </w:r>
      <w:hyperlink r:id="rId13">
        <w:r>
          <w:rPr>
            <w:color w:val="285B9D"/>
            <w:u w:val="single"/>
            <w:rFonts w:eastAsia="Heiti TC" w:ascii="Calibri" w:hAnsi="Calibri"/>
          </w:rPr>
          <w:t>reports/archive-878095100273</w:t>
        </w:r>
      </w:hyperlink>
    </w:p>
    <w:p>
      <w:pPr>
        <w:spacing w:before="0" w:after="40" w:line="264" w:lineRule="auto"/>
      </w:pPr>
      <w:r>
        <w:rPr>
          <w:rFonts w:ascii="Calibri" w:hAnsi="Calibri" w:eastAsia="Heiti TC"/>
          <w:b/>
          <w:i w:val="0"/>
          <w:color w:val="0B2545"/>
          <w:sz w:val="22"/>
        </w:rPr>
        <w:t>电网关键设备供应链压力测试：变压器产能缺口、开关柜瓶颈与AI数据中心交付风险</w:t>
      </w:r>
    </w:p>
    <w:p>
      <w:pPr>
        <w:spacing w:before="0" w:after="60" w:line="264" w:lineRule="auto"/>
      </w:pPr>
      <w:r>
        <w:rPr>
          <w:rFonts w:ascii="Calibri" w:hAnsi="Calibri" w:eastAsia="Heiti TC"/>
          <w:b w:val="0"/>
          <w:i w:val="0"/>
          <w:color w:val="334155"/>
          <w:sz w:val="20"/>
        </w:rPr>
        <w:t>工业供给瓶颈，影响 5 / 概率 4</w:t>
      </w:r>
    </w:p>
    <w:p>
      <w:pPr>
        <w:spacing w:before="0" w:after="160" w:line="264" w:lineRule="auto"/>
      </w:pPr>
      <w:r>
        <w:rPr>
          <w:rFonts w:ascii="Calibri" w:hAnsi="Calibri" w:eastAsia="Heiti TC"/>
          <w:b w:val="0"/>
          <w:i w:val="0"/>
          <w:color w:val="667085"/>
          <w:sz w:val="17"/>
        </w:rPr>
        <w:t xml:space="preserve">Report: </w:t>
      </w:r>
      <w:hyperlink r:id="rId24">
        <w:r>
          <w:rPr>
            <w:color w:val="285B9D"/>
            <w:u w:val="single"/>
            <w:rFonts w:eastAsia="Heiti TC" w:ascii="Calibri" w:hAnsi="Calibri"/>
          </w:rPr>
          <w:t>reports/archive-2edfd7e782e3</w:t>
        </w:r>
      </w:hyperlink>
    </w:p>
    <w:p>
      <w:pPr>
        <w:spacing w:before="0" w:after="40" w:line="264" w:lineRule="auto"/>
      </w:pPr>
      <w:r>
        <w:rPr>
          <w:rFonts w:ascii="Calibri" w:hAnsi="Calibri" w:eastAsia="Heiti TC"/>
          <w:b/>
          <w:i w:val="0"/>
          <w:color w:val="0B2545"/>
          <w:sz w:val="22"/>
        </w:rPr>
        <w:t>2026-07-24 电力设备核心材料专题：取向硅钢(GOES)与铜供需缺口、产能扩张节奏与变压器二次交付延...</w:t>
      </w:r>
    </w:p>
    <w:p>
      <w:pPr>
        <w:spacing w:before="0" w:after="60" w:line="264" w:lineRule="auto"/>
      </w:pPr>
      <w:r>
        <w:rPr>
          <w:rFonts w:ascii="Calibri" w:hAnsi="Calibri" w:eastAsia="Heiti TC"/>
          <w:b w:val="0"/>
          <w:i w:val="0"/>
          <w:color w:val="334155"/>
          <w:sz w:val="20"/>
        </w:rPr>
        <w:t>工业供给瓶颈，影响 5 / 概率 4</w:t>
      </w:r>
    </w:p>
    <w:p>
      <w:pPr>
        <w:spacing w:before="0" w:after="160" w:line="264" w:lineRule="auto"/>
      </w:pPr>
      <w:r>
        <w:rPr>
          <w:rFonts w:ascii="Calibri" w:hAnsi="Calibri" w:eastAsia="Heiti TC"/>
          <w:b w:val="0"/>
          <w:i w:val="0"/>
          <w:color w:val="667085"/>
          <w:sz w:val="17"/>
        </w:rPr>
        <w:t xml:space="preserve">Report: </w:t>
      </w:r>
      <w:hyperlink r:id="rId25">
        <w:r>
          <w:rPr>
            <w:color w:val="285B9D"/>
            <w:u w:val="single"/>
            <w:rFonts w:eastAsia="Heiti TC" w:ascii="Calibri" w:hAnsi="Calibri"/>
          </w:rPr>
          <w:t>reports/archive-38082c85b96a</w:t>
        </w:r>
      </w:hyperlink>
    </w:p>
    <w:p>
      <w:pPr>
        <w:pStyle w:val="Heading1"/>
      </w:pPr>
      <w:r>
        <w:t>5. 证据表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3720"/>
        <w:gridCol w:w="1560"/>
        <w:gridCol w:w="1680"/>
        <w:gridCol w:w="900"/>
        <w:gridCol w:w="1500"/>
      </w:tblGrid>
      <w:tr>
        <w:tc>
          <w:tcPr>
            <w:tcW w:type="dxa" w:w="3720"/>
            <w:vAlign w:val="center"/>
            <w:shd w:fill="F2F4F7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Heiti TC"/>
                <w:b/>
                <w:color w:val="475569"/>
                <w:sz w:val="18"/>
              </w:rPr>
              <w:t>报告</w:t>
            </w:r>
          </w:p>
        </w:tc>
        <w:tc>
          <w:tcPr>
            <w:tcW w:type="dxa" w:w="1560"/>
            <w:vAlign w:val="center"/>
            <w:shd w:fill="F2F4F7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Heiti TC"/>
                <w:b/>
                <w:color w:val="475569"/>
                <w:sz w:val="18"/>
              </w:rPr>
              <w:t>分析师</w:t>
            </w:r>
          </w:p>
        </w:tc>
        <w:tc>
          <w:tcPr>
            <w:tcW w:type="dxa" w:w="1680"/>
            <w:vAlign w:val="center"/>
            <w:shd w:fill="F2F4F7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Heiti TC"/>
                <w:b/>
                <w:color w:val="475569"/>
                <w:sz w:val="18"/>
              </w:rPr>
              <w:t>行业链</w:t>
            </w:r>
          </w:p>
        </w:tc>
        <w:tc>
          <w:tcPr>
            <w:tcW w:type="dxa" w:w="900"/>
            <w:vAlign w:val="center"/>
            <w:shd w:fill="F2F4F7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Heiti TC"/>
                <w:b/>
                <w:color w:val="475569"/>
                <w:sz w:val="18"/>
              </w:rPr>
              <w:t>评分</w:t>
            </w:r>
          </w:p>
        </w:tc>
        <w:tc>
          <w:tcPr>
            <w:tcW w:type="dxa" w:w="1500"/>
            <w:vAlign w:val="center"/>
            <w:shd w:fill="F2F4F7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Heiti TC"/>
                <w:b/>
                <w:color w:val="475569"/>
                <w:sz w:val="18"/>
              </w:rPr>
              <w:t>风险</w:t>
            </w:r>
          </w:p>
        </w:tc>
      </w:tr>
      <w:tr>
        <w:tc>
          <w:tcPr>
            <w:tcW w:type="dxa" w:w="372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Heiti TC"/>
                <w:b w:val="0"/>
                <w:color w:val="111827"/>
                <w:sz w:val="17"/>
              </w:rPr>
              <w:t>2026-07-30 — 解除电力节流的现实节奏</w:t>
            </w:r>
          </w:p>
        </w:tc>
        <w:tc>
          <w:tcPr>
            <w:tcW w:type="dxa" w:w="156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Heiti TC"/>
                <w:b w:val="0"/>
                <w:color w:val="111827"/>
                <w:sz w:val="16"/>
              </w:rPr>
              <w:t>未识别</w:t>
            </w:r>
          </w:p>
        </w:tc>
        <w:tc>
          <w:tcPr>
            <w:tcW w:type="dxa" w:w="168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Heiti TC"/>
                <w:b w:val="0"/>
                <w:color w:val="111827"/>
                <w:sz w:val="16"/>
              </w:rPr>
              <w:t>AI 基础设施</w:t>
            </w:r>
          </w:p>
        </w:tc>
        <w:tc>
          <w:tcPr>
            <w:tcW w:type="dxa" w:w="9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Heiti TC"/>
                <w:b/>
                <w:color w:val="111827"/>
                <w:sz w:val="17"/>
              </w:rPr>
              <w:t>50.0</w:t>
            </w:r>
          </w:p>
        </w:tc>
        <w:tc>
          <w:tcPr>
            <w:tcW w:type="dxa" w:w="15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Heiti TC"/>
                <w:b w:val="0"/>
                <w:color w:val="111827"/>
                <w:sz w:val="16"/>
              </w:rPr>
              <w:t>风险 2</w:t>
            </w:r>
          </w:p>
        </w:tc>
      </w:tr>
      <w:tr>
        <w:tc>
          <w:tcPr>
            <w:tcW w:type="dxa" w:w="372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Heiti TC"/>
                <w:b w:val="0"/>
                <w:color w:val="111827"/>
                <w:sz w:val="17"/>
              </w:rPr>
              <w:t>2026-07-30 美股AI电力设备仓位压力测试</w:t>
            </w:r>
          </w:p>
        </w:tc>
        <w:tc>
          <w:tcPr>
            <w:tcW w:type="dxa" w:w="156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Heiti TC"/>
                <w:b w:val="0"/>
                <w:color w:val="111827"/>
                <w:sz w:val="16"/>
              </w:rPr>
              <w:t>未识别</w:t>
            </w:r>
          </w:p>
        </w:tc>
        <w:tc>
          <w:tcPr>
            <w:tcW w:type="dxa" w:w="168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Heiti TC"/>
                <w:b w:val="0"/>
                <w:color w:val="111827"/>
                <w:sz w:val="16"/>
              </w:rPr>
              <w:t>宏观通胀传导</w:t>
            </w:r>
          </w:p>
        </w:tc>
        <w:tc>
          <w:tcPr>
            <w:tcW w:type="dxa" w:w="9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Heiti TC"/>
                <w:b/>
                <w:color w:val="111827"/>
                <w:sz w:val="17"/>
              </w:rPr>
              <w:t>44.7</w:t>
            </w:r>
          </w:p>
        </w:tc>
        <w:tc>
          <w:tcPr>
            <w:tcW w:type="dxa" w:w="15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Heiti TC"/>
                <w:b w:val="0"/>
                <w:color w:val="111827"/>
                <w:sz w:val="16"/>
              </w:rPr>
              <w:t>风险 1</w:t>
            </w:r>
          </w:p>
        </w:tc>
      </w:tr>
      <w:tr>
        <w:tc>
          <w:tcPr>
            <w:tcW w:type="dxa" w:w="372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Heiti TC"/>
                <w:b w:val="0"/>
                <w:color w:val="111827"/>
                <w:sz w:val="17"/>
              </w:rPr>
              <w:t>2026-07-30 — A 股市场结构下的 HBM 与 AI 电力链交易表达</w:t>
            </w:r>
          </w:p>
        </w:tc>
        <w:tc>
          <w:tcPr>
            <w:tcW w:type="dxa" w:w="156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Heiti TC"/>
                <w:b w:val="0"/>
                <w:color w:val="111827"/>
                <w:sz w:val="16"/>
              </w:rPr>
              <w:t>未识别</w:t>
            </w:r>
          </w:p>
        </w:tc>
        <w:tc>
          <w:tcPr>
            <w:tcW w:type="dxa" w:w="168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Heiti TC"/>
                <w:b w:val="0"/>
                <w:color w:val="111827"/>
                <w:sz w:val="16"/>
              </w:rPr>
              <w:t>AI 基础设施</w:t>
            </w:r>
          </w:p>
        </w:tc>
        <w:tc>
          <w:tcPr>
            <w:tcW w:type="dxa" w:w="9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Heiti TC"/>
                <w:b/>
                <w:color w:val="111827"/>
                <w:sz w:val="17"/>
              </w:rPr>
              <w:t>42.8</w:t>
            </w:r>
          </w:p>
        </w:tc>
        <w:tc>
          <w:tcPr>
            <w:tcW w:type="dxa" w:w="15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Heiti TC"/>
                <w:b w:val="0"/>
                <w:color w:val="111827"/>
                <w:sz w:val="16"/>
              </w:rPr>
              <w:t>常规</w:t>
            </w:r>
          </w:p>
        </w:tc>
      </w:tr>
      <w:tr>
        <w:tc>
          <w:tcPr>
            <w:tcW w:type="dxa" w:w="372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Heiti TC"/>
                <w:b w:val="0"/>
                <w:color w:val="111827"/>
                <w:sz w:val="17"/>
              </w:rPr>
              <w:t>research discussion Session Brief</w:t>
            </w:r>
          </w:p>
        </w:tc>
        <w:tc>
          <w:tcPr>
            <w:tcW w:type="dxa" w:w="156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Heiti TC"/>
                <w:b w:val="0"/>
                <w:color w:val="111827"/>
                <w:sz w:val="16"/>
              </w:rPr>
              <w:t>未识别</w:t>
            </w:r>
          </w:p>
        </w:tc>
        <w:tc>
          <w:tcPr>
            <w:tcW w:type="dxa" w:w="168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Heiti TC"/>
                <w:b w:val="0"/>
                <w:color w:val="111827"/>
                <w:sz w:val="16"/>
              </w:rPr>
              <w:t>宏观通胀传导</w:t>
            </w:r>
          </w:p>
        </w:tc>
        <w:tc>
          <w:tcPr>
            <w:tcW w:type="dxa" w:w="9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Heiti TC"/>
                <w:b/>
                <w:color w:val="111827"/>
                <w:sz w:val="17"/>
              </w:rPr>
              <w:t>42.1</w:t>
            </w:r>
          </w:p>
        </w:tc>
        <w:tc>
          <w:tcPr>
            <w:tcW w:type="dxa" w:w="15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Heiti TC"/>
                <w:b w:val="0"/>
                <w:color w:val="111827"/>
                <w:sz w:val="16"/>
              </w:rPr>
              <w:t>风险 1</w:t>
            </w:r>
          </w:p>
        </w:tc>
      </w:tr>
      <w:tr>
        <w:tc>
          <w:tcPr>
            <w:tcW w:type="dxa" w:w="372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Heiti TC"/>
                <w:b w:val="0"/>
                <w:color w:val="111827"/>
                <w:sz w:val="17"/>
              </w:rPr>
              <w:t>日报总编晨间标题核查：跨分析师议题提案</w:t>
            </w:r>
          </w:p>
        </w:tc>
        <w:tc>
          <w:tcPr>
            <w:tcW w:type="dxa" w:w="156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Heiti TC"/>
                <w:b w:val="0"/>
                <w:color w:val="111827"/>
                <w:sz w:val="16"/>
              </w:rPr>
              <w:t>未识别</w:t>
            </w:r>
          </w:p>
        </w:tc>
        <w:tc>
          <w:tcPr>
            <w:tcW w:type="dxa" w:w="168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Heiti TC"/>
                <w:b w:val="0"/>
                <w:color w:val="111827"/>
                <w:sz w:val="16"/>
              </w:rPr>
              <w:t>宏观通胀传导</w:t>
            </w:r>
          </w:p>
        </w:tc>
        <w:tc>
          <w:tcPr>
            <w:tcW w:type="dxa" w:w="9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Heiti TC"/>
                <w:b/>
                <w:color w:val="111827"/>
                <w:sz w:val="17"/>
              </w:rPr>
              <w:t>40.7</w:t>
            </w:r>
          </w:p>
        </w:tc>
        <w:tc>
          <w:tcPr>
            <w:tcW w:type="dxa" w:w="15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Heiti TC"/>
                <w:b w:val="0"/>
                <w:color w:val="111827"/>
                <w:sz w:val="16"/>
              </w:rPr>
              <w:t>风险 1</w:t>
            </w:r>
          </w:p>
        </w:tc>
      </w:tr>
      <w:tr>
        <w:tc>
          <w:tcPr>
            <w:tcW w:type="dxa" w:w="372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Heiti TC"/>
                <w:b w:val="0"/>
                <w:color w:val="111827"/>
                <w:sz w:val="17"/>
              </w:rPr>
              <w:t>偏鹰Fed按兵不动后的美元传导</w:t>
            </w:r>
          </w:p>
        </w:tc>
        <w:tc>
          <w:tcPr>
            <w:tcW w:type="dxa" w:w="156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Heiti TC"/>
                <w:b w:val="0"/>
                <w:color w:val="111827"/>
                <w:sz w:val="16"/>
              </w:rPr>
              <w:t>未识别</w:t>
            </w:r>
          </w:p>
        </w:tc>
        <w:tc>
          <w:tcPr>
            <w:tcW w:type="dxa" w:w="168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Heiti TC"/>
                <w:b w:val="0"/>
                <w:color w:val="111827"/>
                <w:sz w:val="16"/>
              </w:rPr>
              <w:t>AI 基础设施</w:t>
            </w:r>
          </w:p>
        </w:tc>
        <w:tc>
          <w:tcPr>
            <w:tcW w:type="dxa" w:w="9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Heiti TC"/>
                <w:b/>
                <w:color w:val="111827"/>
                <w:sz w:val="17"/>
              </w:rPr>
              <w:t>40.2</w:t>
            </w:r>
          </w:p>
        </w:tc>
        <w:tc>
          <w:tcPr>
            <w:tcW w:type="dxa" w:w="15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Heiti TC"/>
                <w:b w:val="0"/>
                <w:color w:val="111827"/>
                <w:sz w:val="16"/>
              </w:rPr>
              <w:t>风险 2</w:t>
            </w:r>
          </w:p>
        </w:tc>
      </w:tr>
      <w:tr>
        <w:tc>
          <w:tcPr>
            <w:tcW w:type="dxa" w:w="372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Heiti TC"/>
                <w:b w:val="0"/>
                <w:color w:val="111827"/>
                <w:sz w:val="17"/>
              </w:rPr>
              <w:t>Recent analyst reports</w:t>
            </w:r>
          </w:p>
        </w:tc>
        <w:tc>
          <w:tcPr>
            <w:tcW w:type="dxa" w:w="156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Heiti TC"/>
                <w:b w:val="0"/>
                <w:color w:val="111827"/>
                <w:sz w:val="16"/>
              </w:rPr>
              <w:t>未识别</w:t>
            </w:r>
          </w:p>
        </w:tc>
        <w:tc>
          <w:tcPr>
            <w:tcW w:type="dxa" w:w="168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Heiti TC"/>
                <w:b w:val="0"/>
                <w:color w:val="111827"/>
                <w:sz w:val="16"/>
              </w:rPr>
              <w:t>宏观通胀传导</w:t>
            </w:r>
          </w:p>
        </w:tc>
        <w:tc>
          <w:tcPr>
            <w:tcW w:type="dxa" w:w="9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Heiti TC"/>
                <w:b/>
                <w:color w:val="111827"/>
                <w:sz w:val="17"/>
              </w:rPr>
              <w:t>39.9</w:t>
            </w:r>
          </w:p>
        </w:tc>
        <w:tc>
          <w:tcPr>
            <w:tcW w:type="dxa" w:w="15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Heiti TC"/>
                <w:b w:val="0"/>
                <w:color w:val="111827"/>
                <w:sz w:val="16"/>
              </w:rPr>
              <w:t>常规</w:t>
            </w:r>
          </w:p>
        </w:tc>
      </w:tr>
      <w:tr>
        <w:tc>
          <w:tcPr>
            <w:tcW w:type="dxa" w:w="372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Heiti TC"/>
                <w:b w:val="0"/>
                <w:color w:val="111827"/>
                <w:sz w:val="17"/>
              </w:rPr>
              <w:t>2026-07-30 - HBM 与 AI 电力链配置排序</w:t>
            </w:r>
          </w:p>
        </w:tc>
        <w:tc>
          <w:tcPr>
            <w:tcW w:type="dxa" w:w="156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Heiti TC"/>
                <w:b w:val="0"/>
                <w:color w:val="111827"/>
                <w:sz w:val="16"/>
              </w:rPr>
              <w:t>未识别</w:t>
            </w:r>
          </w:p>
        </w:tc>
        <w:tc>
          <w:tcPr>
            <w:tcW w:type="dxa" w:w="168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Heiti TC"/>
                <w:b w:val="0"/>
                <w:color w:val="111827"/>
                <w:sz w:val="16"/>
              </w:rPr>
              <w:t>AI 基础设施</w:t>
            </w:r>
          </w:p>
        </w:tc>
        <w:tc>
          <w:tcPr>
            <w:tcW w:type="dxa" w:w="9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Heiti TC"/>
                <w:b/>
                <w:color w:val="111827"/>
                <w:sz w:val="17"/>
              </w:rPr>
              <w:t>39.8</w:t>
            </w:r>
          </w:p>
        </w:tc>
        <w:tc>
          <w:tcPr>
            <w:tcW w:type="dxa" w:w="15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Heiti TC"/>
                <w:b w:val="0"/>
                <w:color w:val="111827"/>
                <w:sz w:val="16"/>
              </w:rPr>
              <w:t>风险 1</w:t>
            </w:r>
          </w:p>
        </w:tc>
      </w:tr>
      <w:tr>
        <w:tc>
          <w:tcPr>
            <w:tcW w:type="dxa" w:w="372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Heiti TC"/>
                <w:b w:val="0"/>
                <w:color w:val="111827"/>
                <w:sz w:val="17"/>
              </w:rPr>
              <w:t>2026-07-30 电子与 AI 硬件拥挤度的因子化减仓阈值</w:t>
            </w:r>
          </w:p>
        </w:tc>
        <w:tc>
          <w:tcPr>
            <w:tcW w:type="dxa" w:w="156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Heiti TC"/>
                <w:b w:val="0"/>
                <w:color w:val="111827"/>
                <w:sz w:val="16"/>
              </w:rPr>
              <w:t>未识别</w:t>
            </w:r>
          </w:p>
        </w:tc>
        <w:tc>
          <w:tcPr>
            <w:tcW w:type="dxa" w:w="168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Heiti TC"/>
                <w:b w:val="0"/>
                <w:color w:val="111827"/>
                <w:sz w:val="16"/>
              </w:rPr>
              <w:t>宏观通胀传导</w:t>
            </w:r>
          </w:p>
        </w:tc>
        <w:tc>
          <w:tcPr>
            <w:tcW w:type="dxa" w:w="9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Heiti TC"/>
                <w:b/>
                <w:color w:val="111827"/>
                <w:sz w:val="17"/>
              </w:rPr>
              <w:t>39.3</w:t>
            </w:r>
          </w:p>
        </w:tc>
        <w:tc>
          <w:tcPr>
            <w:tcW w:type="dxa" w:w="15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Heiti TC"/>
                <w:b w:val="0"/>
                <w:color w:val="111827"/>
                <w:sz w:val="16"/>
              </w:rPr>
              <w:t>风险 1</w:t>
            </w:r>
          </w:p>
        </w:tc>
      </w:tr>
      <w:tr>
        <w:tc>
          <w:tcPr>
            <w:tcW w:type="dxa" w:w="372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Heiti TC"/>
                <w:b w:val="0"/>
                <w:color w:val="111827"/>
                <w:sz w:val="17"/>
              </w:rPr>
              <w:t>把宏观分化判断转成 3 个月跨资产立场</w:t>
            </w:r>
          </w:p>
        </w:tc>
        <w:tc>
          <w:tcPr>
            <w:tcW w:type="dxa" w:w="156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Heiti TC"/>
                <w:b w:val="0"/>
                <w:color w:val="111827"/>
                <w:sz w:val="16"/>
              </w:rPr>
              <w:t>未识别</w:t>
            </w:r>
          </w:p>
        </w:tc>
        <w:tc>
          <w:tcPr>
            <w:tcW w:type="dxa" w:w="168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Heiti TC"/>
                <w:b w:val="0"/>
                <w:color w:val="111827"/>
                <w:sz w:val="16"/>
              </w:rPr>
              <w:t>宏观通胀传导</w:t>
            </w:r>
          </w:p>
        </w:tc>
        <w:tc>
          <w:tcPr>
            <w:tcW w:type="dxa" w:w="9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Heiti TC"/>
                <w:b/>
                <w:color w:val="111827"/>
                <w:sz w:val="17"/>
              </w:rPr>
              <w:t>39.0</w:t>
            </w:r>
          </w:p>
        </w:tc>
        <w:tc>
          <w:tcPr>
            <w:tcW w:type="dxa" w:w="15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Heiti TC"/>
                <w:b w:val="0"/>
                <w:color w:val="111827"/>
                <w:sz w:val="16"/>
              </w:rPr>
              <w:t>常规</w:t>
            </w:r>
          </w:p>
        </w:tc>
      </w:tr>
      <w:tr>
        <w:tc>
          <w:tcPr>
            <w:tcW w:type="dxa" w:w="372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Heiti TC"/>
                <w:b w:val="0"/>
                <w:color w:val="111827"/>
                <w:sz w:val="17"/>
              </w:rPr>
              <w:t>已融资capex向已上电芯片的转化率（2027–2028）</w:t>
            </w:r>
          </w:p>
        </w:tc>
        <w:tc>
          <w:tcPr>
            <w:tcW w:type="dxa" w:w="156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Heiti TC"/>
                <w:b w:val="0"/>
                <w:color w:val="111827"/>
                <w:sz w:val="16"/>
              </w:rPr>
              <w:t>未识别</w:t>
            </w:r>
          </w:p>
        </w:tc>
        <w:tc>
          <w:tcPr>
            <w:tcW w:type="dxa" w:w="168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Heiti TC"/>
                <w:b w:val="0"/>
                <w:color w:val="111827"/>
                <w:sz w:val="16"/>
              </w:rPr>
              <w:t>AI 基础设施</w:t>
            </w:r>
          </w:p>
        </w:tc>
        <w:tc>
          <w:tcPr>
            <w:tcW w:type="dxa" w:w="9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Heiti TC"/>
                <w:b/>
                <w:color w:val="111827"/>
                <w:sz w:val="17"/>
              </w:rPr>
              <w:t>38.9</w:t>
            </w:r>
          </w:p>
        </w:tc>
        <w:tc>
          <w:tcPr>
            <w:tcW w:type="dxa" w:w="15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Heiti TC"/>
                <w:b w:val="0"/>
                <w:color w:val="111827"/>
                <w:sz w:val="16"/>
              </w:rPr>
              <w:t>风险 2</w:t>
            </w:r>
          </w:p>
        </w:tc>
      </w:tr>
      <w:tr>
        <w:tc>
          <w:tcPr>
            <w:tcW w:type="dxa" w:w="372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Heiti TC"/>
                <w:b w:val="0"/>
                <w:color w:val="111827"/>
                <w:sz w:val="17"/>
              </w:rPr>
              <w:t>2026-07-30 GDP/PCE 数据后，是否仍支持 3–4 年久期与 3–5% 现金，还是应转向显性利率对冲？</w:t>
            </w:r>
          </w:p>
        </w:tc>
        <w:tc>
          <w:tcPr>
            <w:tcW w:type="dxa" w:w="156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Heiti TC"/>
                <w:b w:val="0"/>
                <w:color w:val="111827"/>
                <w:sz w:val="16"/>
              </w:rPr>
              <w:t>未识别</w:t>
            </w:r>
          </w:p>
        </w:tc>
        <w:tc>
          <w:tcPr>
            <w:tcW w:type="dxa" w:w="168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Heiti TC"/>
                <w:b w:val="0"/>
                <w:color w:val="111827"/>
                <w:sz w:val="16"/>
              </w:rPr>
              <w:t>宏观通胀传导</w:t>
            </w:r>
          </w:p>
        </w:tc>
        <w:tc>
          <w:tcPr>
            <w:tcW w:type="dxa" w:w="9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Heiti TC"/>
                <w:b/>
                <w:color w:val="111827"/>
                <w:sz w:val="17"/>
              </w:rPr>
              <w:t>38.9</w:t>
            </w:r>
          </w:p>
        </w:tc>
        <w:tc>
          <w:tcPr>
            <w:tcW w:type="dxa" w:w="15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Heiti TC"/>
                <w:b w:val="0"/>
                <w:color w:val="111827"/>
                <w:sz w:val="16"/>
              </w:rPr>
              <w:t>风险 1</w:t>
            </w:r>
          </w:p>
        </w:tc>
      </w:tr>
      <w:tr>
        <w:tc>
          <w:tcPr>
            <w:tcW w:type="dxa" w:w="372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Heiti TC"/>
                <w:b w:val="0"/>
                <w:color w:val="111827"/>
                <w:sz w:val="17"/>
              </w:rPr>
              <w:t>2026-07-30 AI出口超配组合中的做多美元尾部对冲</w:t>
            </w:r>
          </w:p>
        </w:tc>
        <w:tc>
          <w:tcPr>
            <w:tcW w:type="dxa" w:w="156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Heiti TC"/>
                <w:b w:val="0"/>
                <w:color w:val="111827"/>
                <w:sz w:val="16"/>
              </w:rPr>
              <w:t>未识别</w:t>
            </w:r>
          </w:p>
        </w:tc>
        <w:tc>
          <w:tcPr>
            <w:tcW w:type="dxa" w:w="168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Heiti TC"/>
                <w:b w:val="0"/>
                <w:color w:val="111827"/>
                <w:sz w:val="16"/>
              </w:rPr>
              <w:t>宏观通胀传导</w:t>
            </w:r>
          </w:p>
        </w:tc>
        <w:tc>
          <w:tcPr>
            <w:tcW w:type="dxa" w:w="9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Heiti TC"/>
                <w:b/>
                <w:color w:val="111827"/>
                <w:sz w:val="17"/>
              </w:rPr>
              <w:t>38.9</w:t>
            </w:r>
          </w:p>
        </w:tc>
        <w:tc>
          <w:tcPr>
            <w:tcW w:type="dxa" w:w="15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Heiti TC"/>
                <w:b w:val="0"/>
                <w:color w:val="111827"/>
                <w:sz w:val="16"/>
              </w:rPr>
              <w:t>常规</w:t>
            </w:r>
          </w:p>
        </w:tc>
      </w:tr>
      <w:tr>
        <w:tc>
          <w:tcPr>
            <w:tcW w:type="dxa" w:w="372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Heiti TC"/>
                <w:b w:val="0"/>
                <w:color w:val="111827"/>
                <w:sz w:val="17"/>
              </w:rPr>
              <w:t>央行终于动了，汇率却拒绝跟随</w:t>
            </w:r>
          </w:p>
        </w:tc>
        <w:tc>
          <w:tcPr>
            <w:tcW w:type="dxa" w:w="156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Heiti TC"/>
                <w:b w:val="0"/>
                <w:color w:val="111827"/>
                <w:sz w:val="16"/>
              </w:rPr>
              <w:t>未识别</w:t>
            </w:r>
          </w:p>
        </w:tc>
        <w:tc>
          <w:tcPr>
            <w:tcW w:type="dxa" w:w="168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Heiti TC"/>
                <w:b w:val="0"/>
                <w:color w:val="111827"/>
                <w:sz w:val="16"/>
              </w:rPr>
              <w:t>宏观通胀传导</w:t>
            </w:r>
          </w:p>
        </w:tc>
        <w:tc>
          <w:tcPr>
            <w:tcW w:type="dxa" w:w="9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Heiti TC"/>
                <w:b/>
                <w:color w:val="111827"/>
                <w:sz w:val="17"/>
              </w:rPr>
              <w:t>38.6</w:t>
            </w:r>
          </w:p>
        </w:tc>
        <w:tc>
          <w:tcPr>
            <w:tcW w:type="dxa" w:w="15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Heiti TC"/>
                <w:b w:val="0"/>
                <w:color w:val="111827"/>
                <w:sz w:val="16"/>
              </w:rPr>
              <w:t>风险 1</w:t>
            </w:r>
          </w:p>
        </w:tc>
      </w:tr>
      <w:tr>
        <w:tc>
          <w:tcPr>
            <w:tcW w:type="dxa" w:w="372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Heiti TC"/>
                <w:b w:val="0"/>
                <w:color w:val="111827"/>
                <w:sz w:val="17"/>
              </w:rPr>
              <w:t>2026-07-30 久期降至0-5%后的再平衡</w:t>
            </w:r>
          </w:p>
        </w:tc>
        <w:tc>
          <w:tcPr>
            <w:tcW w:type="dxa" w:w="156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Heiti TC"/>
                <w:b w:val="0"/>
                <w:color w:val="111827"/>
                <w:sz w:val="16"/>
              </w:rPr>
              <w:t>未识别</w:t>
            </w:r>
          </w:p>
        </w:tc>
        <w:tc>
          <w:tcPr>
            <w:tcW w:type="dxa" w:w="168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Heiti TC"/>
                <w:b w:val="0"/>
                <w:color w:val="111827"/>
                <w:sz w:val="16"/>
              </w:rPr>
              <w:t>AI 基础设施</w:t>
            </w:r>
          </w:p>
        </w:tc>
        <w:tc>
          <w:tcPr>
            <w:tcW w:type="dxa" w:w="9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Heiti TC"/>
                <w:b/>
                <w:color w:val="111827"/>
                <w:sz w:val="17"/>
              </w:rPr>
              <w:t>38.5</w:t>
            </w:r>
          </w:p>
        </w:tc>
        <w:tc>
          <w:tcPr>
            <w:tcW w:type="dxa" w:w="15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Heiti TC"/>
                <w:b w:val="0"/>
                <w:color w:val="111827"/>
                <w:sz w:val="16"/>
              </w:rPr>
              <w:t>风险 1</w:t>
            </w:r>
          </w:p>
        </w:tc>
      </w:tr>
      <w:tr>
        <w:tc>
          <w:tcPr>
            <w:tcW w:type="dxa" w:w="372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Heiti TC"/>
                <w:b w:val="0"/>
                <w:color w:val="111827"/>
                <w:sz w:val="17"/>
              </w:rPr>
              <w:t>隔夜情绪与资金流扫描</w:t>
            </w:r>
          </w:p>
        </w:tc>
        <w:tc>
          <w:tcPr>
            <w:tcW w:type="dxa" w:w="156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Heiti TC"/>
                <w:b w:val="0"/>
                <w:color w:val="111827"/>
                <w:sz w:val="16"/>
              </w:rPr>
              <w:t>未识别</w:t>
            </w:r>
          </w:p>
        </w:tc>
        <w:tc>
          <w:tcPr>
            <w:tcW w:type="dxa" w:w="168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Heiti TC"/>
                <w:b w:val="0"/>
                <w:color w:val="111827"/>
                <w:sz w:val="16"/>
              </w:rPr>
              <w:t>AI 基础设施</w:t>
            </w:r>
          </w:p>
        </w:tc>
        <w:tc>
          <w:tcPr>
            <w:tcW w:type="dxa" w:w="9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Heiti TC"/>
                <w:b/>
                <w:color w:val="111827"/>
                <w:sz w:val="17"/>
              </w:rPr>
              <w:t>38.4</w:t>
            </w:r>
          </w:p>
        </w:tc>
        <w:tc>
          <w:tcPr>
            <w:tcW w:type="dxa" w:w="15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Heiti TC"/>
                <w:b w:val="0"/>
                <w:color w:val="111827"/>
                <w:sz w:val="16"/>
              </w:rPr>
              <w:t>风险 1</w:t>
            </w:r>
          </w:p>
        </w:tc>
      </w:tr>
      <w:tr>
        <w:tc>
          <w:tcPr>
            <w:tcW w:type="dxa" w:w="372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Heiti TC"/>
                <w:b w:val="0"/>
                <w:color w:val="111827"/>
                <w:sz w:val="17"/>
              </w:rPr>
              <w:t>2026-07-30 研究记录08：猪肉基数抬升下的2026-2027年CPI中枢与人民银行路径</w:t>
            </w:r>
          </w:p>
        </w:tc>
        <w:tc>
          <w:tcPr>
            <w:tcW w:type="dxa" w:w="156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Heiti TC"/>
                <w:b w:val="0"/>
                <w:color w:val="111827"/>
                <w:sz w:val="16"/>
              </w:rPr>
              <w:t>未识别</w:t>
            </w:r>
          </w:p>
        </w:tc>
        <w:tc>
          <w:tcPr>
            <w:tcW w:type="dxa" w:w="168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Heiti TC"/>
                <w:b w:val="0"/>
                <w:color w:val="111827"/>
                <w:sz w:val="16"/>
              </w:rPr>
              <w:t>宏观通胀传导</w:t>
            </w:r>
          </w:p>
        </w:tc>
        <w:tc>
          <w:tcPr>
            <w:tcW w:type="dxa" w:w="9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Heiti TC"/>
                <w:b/>
                <w:color w:val="111827"/>
                <w:sz w:val="17"/>
              </w:rPr>
              <w:t>38.3</w:t>
            </w:r>
          </w:p>
        </w:tc>
        <w:tc>
          <w:tcPr>
            <w:tcW w:type="dxa" w:w="15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Heiti TC"/>
                <w:b w:val="0"/>
                <w:color w:val="111827"/>
                <w:sz w:val="16"/>
              </w:rPr>
              <w:t>常规</w:t>
            </w:r>
          </w:p>
        </w:tc>
      </w:tr>
      <w:tr>
        <w:tc>
          <w:tcPr>
            <w:tcW w:type="dxa" w:w="372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Heiti TC"/>
                <w:b w:val="0"/>
                <w:color w:val="111827"/>
                <w:sz w:val="17"/>
              </w:rPr>
              <w:t>2026-07-30 FX 对冲的组合风险预算：保留 delta-one，不把 carry 花掉</w:t>
            </w:r>
          </w:p>
        </w:tc>
        <w:tc>
          <w:tcPr>
            <w:tcW w:type="dxa" w:w="156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Heiti TC"/>
                <w:b w:val="0"/>
                <w:color w:val="111827"/>
                <w:sz w:val="16"/>
              </w:rPr>
              <w:t>未识别</w:t>
            </w:r>
          </w:p>
        </w:tc>
        <w:tc>
          <w:tcPr>
            <w:tcW w:type="dxa" w:w="168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Heiti TC"/>
                <w:b w:val="0"/>
                <w:color w:val="111827"/>
                <w:sz w:val="16"/>
              </w:rPr>
              <w:t>宏观通胀传导</w:t>
            </w:r>
          </w:p>
        </w:tc>
        <w:tc>
          <w:tcPr>
            <w:tcW w:type="dxa" w:w="9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Heiti TC"/>
                <w:b/>
                <w:color w:val="111827"/>
                <w:sz w:val="17"/>
              </w:rPr>
              <w:t>37.9</w:t>
            </w:r>
          </w:p>
        </w:tc>
        <w:tc>
          <w:tcPr>
            <w:tcW w:type="dxa" w:w="15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Heiti TC"/>
                <w:b w:val="0"/>
                <w:color w:val="111827"/>
                <w:sz w:val="16"/>
              </w:rPr>
              <w:t>风险 1</w:t>
            </w:r>
          </w:p>
        </w:tc>
      </w:tr>
    </w:tbl>
    <w:p>
      <w:pPr>
        <w:spacing w:before="0" w:after="160" w:line="264" w:lineRule="auto"/>
      </w:pPr>
      <w:r>
        <w:rPr>
          <w:rFonts w:ascii="Calibri" w:hAnsi="Calibri" w:eastAsia="Heiti TC"/>
          <w:b w:val="0"/>
          <w:i/>
          <w:color w:val="667085"/>
          <w:sz w:val="17"/>
        </w:rPr>
        <w:t>Table 1. Evidence table excerpt. Full evidence remains available in the interactive daily brief.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Heiti TC"/>
        <w:color w:val="667085"/>
        <w:sz w:val="17"/>
      </w:rPr>
      <w:t>Generated from local AI Institute archive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  <w:r>
      <w:rPr>
        <w:rFonts w:ascii="Calibri" w:hAnsi="Calibri" w:eastAsia="Heiti TC"/>
        <w:color w:val="667085"/>
        <w:sz w:val="18"/>
      </w:rPr>
      <w:t>AI Institute Daily Investor Brief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 w:eastAsia="Heiti TC"/>
      <w:b w:val="0"/>
      <w:color w:val="11182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 w:eastAsia="Heiti TC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 w:eastAsia="Heiti TC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 w:eastAsia="Heiti TC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 w:eastAsia="Heiti TC"/>
      <w:b/>
      <w:color w:val="0B2545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Calibri" w:hAnsi="Calibri" w:eastAsia="Heiti TC"/>
      <w:b w:val="0"/>
      <w:i/>
      <w:iCs/>
      <w:color w:val="475569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hyperlink" Target="reports/archive-0e65fe1c87bb" TargetMode="External"/><Relationship Id="rId13" Type="http://schemas.openxmlformats.org/officeDocument/2006/relationships/hyperlink" Target="reports/archive-878095100273" TargetMode="External"/><Relationship Id="rId14" Type="http://schemas.openxmlformats.org/officeDocument/2006/relationships/hyperlink" Target="reports/archive-bf3ed8608464" TargetMode="External"/><Relationship Id="rId15" Type="http://schemas.openxmlformats.org/officeDocument/2006/relationships/image" Target="media/image2.png"/><Relationship Id="rId16" Type="http://schemas.openxmlformats.org/officeDocument/2006/relationships/image" Target="media/image3.png"/><Relationship Id="rId17" Type="http://schemas.openxmlformats.org/officeDocument/2006/relationships/image" Target="media/image4.png"/><Relationship Id="rId18" Type="http://schemas.openxmlformats.org/officeDocument/2006/relationships/image" Target="media/image5.png"/><Relationship Id="rId19" Type="http://schemas.openxmlformats.org/officeDocument/2006/relationships/hyperlink" Target="reports/archive-72b276b899e5" TargetMode="External"/><Relationship Id="rId20" Type="http://schemas.openxmlformats.org/officeDocument/2006/relationships/hyperlink" Target="reports/archive-9e10df86d89a" TargetMode="External"/><Relationship Id="rId21" Type="http://schemas.openxmlformats.org/officeDocument/2006/relationships/hyperlink" Target="reports/archive-6e4c2775eb89" TargetMode="External"/><Relationship Id="rId22" Type="http://schemas.openxmlformats.org/officeDocument/2006/relationships/hyperlink" Target="reports/archive-43fa58ad1ed2" TargetMode="External"/><Relationship Id="rId23" Type="http://schemas.openxmlformats.org/officeDocument/2006/relationships/hyperlink" Target="reports/archive-8f84ccc58f7a" TargetMode="External"/><Relationship Id="rId24" Type="http://schemas.openxmlformats.org/officeDocument/2006/relationships/hyperlink" Target="reports/archive-2edfd7e782e3" TargetMode="External"/><Relationship Id="rId25" Type="http://schemas.openxmlformats.org/officeDocument/2006/relationships/hyperlink" Target="reports/archive-38082c85b96a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 Institute Daily Brief 2026-07-30</dc:title>
  <dc:subject>Daily investor research brief</dc:subject>
  <dc:creator>AI Institute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