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line="264" w:lineRule="auto"/>
      </w:pPr>
      <w:r>
        <w:rPr>
          <w:rFonts w:ascii="Calibri" w:hAnsi="Calibri" w:eastAsia="Arial Unicode MS"/>
          <w:b/>
          <w:i w:val="0"/>
          <w:color w:val="285B9D"/>
          <w:sz w:val="20"/>
        </w:rPr>
        <w:t>AI Institute</w:t>
      </w:r>
    </w:p>
    <w:p>
      <w:pPr>
        <w:pStyle w:val="Title"/>
        <w:spacing w:before="0" w:after="80" w:line="264" w:lineRule="auto"/>
      </w:pPr>
      <w:r>
        <w:rPr>
          <w:rFonts w:ascii="Calibri" w:hAnsi="Calibri" w:eastAsia="Arial Unicode MS"/>
          <w:b w:val="0"/>
          <w:i w:val="0"/>
        </w:rPr>
        <w:t>每日投资研究简报</w:t>
      </w:r>
    </w:p>
    <w:p>
      <w:pPr>
        <w:pStyle w:val="Subtitle"/>
        <w:spacing w:before="0" w:after="240" w:line="264" w:lineRule="auto"/>
      </w:pPr>
      <w:r>
        <w:rPr>
          <w:rFonts w:ascii="Calibri" w:hAnsi="Calibri" w:eastAsia="Arial Unicode MS"/>
          <w:b w:val="0"/>
          <w:i w:val="0"/>
        </w:rPr>
        <w:t>2026-07-09 · webpage screenshot DOCX edition</w:t>
      </w:r>
    </w:p>
    <w:p>
      <w:pPr>
        <w:spacing w:before="0" w:after="160" w:line="264" w:lineRule="auto"/>
      </w:pPr>
      <w:r>
        <w:rPr>
          <w:rFonts w:ascii="Calibri" w:hAnsi="Calibri" w:eastAsia="Arial Unicode MS"/>
          <w:b/>
          <w:i w:val="0"/>
          <w:color w:val="0B2545"/>
          <w:sz w:val="34"/>
        </w:rPr>
        <w:t>宏观通胀传导仍是今日主线，AI 基础设施提供第二层验证。</w:t>
      </w:r>
    </w:p>
    <w:p>
      <w:pPr>
        <w:spacing w:before="0" w:after="240" w:line="264" w:lineRule="auto"/>
      </w:pPr>
      <w:r>
        <w:rPr>
          <w:rFonts w:ascii="Calibri" w:hAnsi="Calibri" w:eastAsia="Arial Unicode MS"/>
          <w:b w:val="0"/>
          <w:i w:val="0"/>
          <w:color w:val="334155"/>
          <w:sz w:val="22"/>
        </w:rPr>
        <w:t>2026-07-09 共纳入 237 篇中文研究结果，覆盖 27 位活跃分析师和 6 条主要行业链，较 2026-07-08 的主题变化可在右侧动量表中核对。简报优先呈现可被报告链接追溯的结论，而不是孤立摘要。</w:t>
      </w:r>
    </w:p>
    <w:tbl>
      <w:tblPr>
        <w:tblW w:type="dxa" w:w="9360"/>
        <w:jc w:val="left"/>
        <w:tblLayout w:type="fixed"/>
        <w:tblLook w:firstColumn="1" w:firstRow="1" w:lastColumn="0" w:lastRow="0" w:noHBand="0" w:noVBand="1" w:val="04A0"/>
      </w:tblPr>
      <w:tblGrid>
        <w:gridCol w:w="2340"/>
        <w:gridCol w:w="2340"/>
        <w:gridCol w:w="2340"/>
        <w:gridCol w:w="2340"/>
      </w:tblGrid>
      <w:tr>
        <w:tc>
          <w:tcPr>
            <w:tcW w:type="dxa" w:w="2340"/>
            <w:vAlign w:val="center"/>
            <w:shd w:fill="F8FAFC"/>
          </w:tcPr>
          <w:p>
            <w:pPr>
              <w:spacing w:after="40"/>
            </w:pPr>
            <w:r>
              <w:rPr>
                <w:rFonts w:ascii="Calibri" w:hAnsi="Calibri" w:eastAsia="Arial Unicode MS"/>
                <w:b/>
                <w:color w:val="667085"/>
                <w:sz w:val="17"/>
              </w:rPr>
              <w:t>今日报告</w:t>
              <w:br/>
            </w:r>
            <w:r>
              <w:rPr>
                <w:rFonts w:ascii="Calibri" w:hAnsi="Calibri" w:eastAsia="Arial Unicode MS"/>
                <w:b/>
                <w:color w:val="285B9D"/>
                <w:sz w:val="36"/>
              </w:rPr>
              <w:t>237</w:t>
            </w:r>
          </w:p>
        </w:tc>
        <w:tc>
          <w:tcPr>
            <w:tcW w:type="dxa" w:w="2340"/>
            <w:vAlign w:val="center"/>
            <w:shd w:fill="F8FAFC"/>
          </w:tcPr>
          <w:p>
            <w:pPr>
              <w:spacing w:after="40"/>
            </w:pPr>
            <w:r>
              <w:rPr>
                <w:rFonts w:ascii="Calibri" w:hAnsi="Calibri" w:eastAsia="Arial Unicode MS"/>
                <w:b/>
                <w:color w:val="667085"/>
                <w:sz w:val="17"/>
              </w:rPr>
              <w:t>活跃分析师</w:t>
              <w:br/>
            </w:r>
            <w:r>
              <w:rPr>
                <w:rFonts w:ascii="Calibri" w:hAnsi="Calibri" w:eastAsia="Arial Unicode MS"/>
                <w:b/>
                <w:color w:val="237A5B"/>
                <w:sz w:val="36"/>
              </w:rPr>
              <w:t>27</w:t>
            </w:r>
          </w:p>
        </w:tc>
        <w:tc>
          <w:tcPr>
            <w:tcW w:type="dxa" w:w="2340"/>
            <w:vAlign w:val="center"/>
            <w:shd w:fill="F8FAFC"/>
          </w:tcPr>
          <w:p>
            <w:pPr>
              <w:spacing w:after="40"/>
            </w:pPr>
            <w:r>
              <w:rPr>
                <w:rFonts w:ascii="Calibri" w:hAnsi="Calibri" w:eastAsia="Arial Unicode MS"/>
                <w:b/>
                <w:color w:val="667085"/>
                <w:sz w:val="17"/>
              </w:rPr>
              <w:t>活跃链条</w:t>
              <w:br/>
            </w:r>
            <w:r>
              <w:rPr>
                <w:rFonts w:ascii="Calibri" w:hAnsi="Calibri" w:eastAsia="Arial Unicode MS"/>
                <w:b/>
                <w:color w:val="A8731B"/>
                <w:sz w:val="36"/>
              </w:rPr>
              <w:t>6</w:t>
            </w:r>
          </w:p>
        </w:tc>
        <w:tc>
          <w:tcPr>
            <w:tcW w:type="dxa" w:w="2340"/>
            <w:vAlign w:val="center"/>
            <w:shd w:fill="F8FAFC"/>
          </w:tcPr>
          <w:p>
            <w:pPr>
              <w:spacing w:after="40"/>
            </w:pPr>
            <w:r>
              <w:rPr>
                <w:rFonts w:ascii="Calibri" w:hAnsi="Calibri" w:eastAsia="Arial Unicode MS"/>
                <w:b/>
                <w:color w:val="667085"/>
                <w:sz w:val="17"/>
              </w:rPr>
              <w:t>风险信号</w:t>
              <w:br/>
            </w:r>
            <w:r>
              <w:rPr>
                <w:rFonts w:ascii="Calibri" w:hAnsi="Calibri" w:eastAsia="Arial Unicode MS"/>
                <w:b/>
                <w:color w:val="B43D49"/>
                <w:sz w:val="36"/>
              </w:rPr>
              <w:t>16</w:t>
            </w:r>
          </w:p>
        </w:tc>
      </w:tr>
    </w:tbl>
    <w:p>
      <w:pPr>
        <w:spacing w:before="0" w:after="160" w:line="264" w:lineRule="auto"/>
      </w:pPr>
    </w:p>
    <w:p>
      <w:pPr>
        <w:spacing w:before="40" w:after="60"/>
        <w:jc w:val="center"/>
      </w:pPr>
      <w:r>
        <w:drawing>
          <wp:inline xmlns:a="http://schemas.openxmlformats.org/drawingml/2006/main" xmlns:pic="http://schemas.openxmlformats.org/drawingml/2006/picture">
            <wp:extent cx="5806440" cy="3870960"/>
            <wp:docPr id="1" name="Picture 1"/>
            <wp:cNvGraphicFramePr>
              <a:graphicFrameLocks noChangeAspect="1"/>
            </wp:cNvGraphicFramePr>
            <a:graphic>
              <a:graphicData uri="http://schemas.openxmlformats.org/drawingml/2006/picture">
                <pic:pic>
                  <pic:nvPicPr>
                    <pic:cNvPr id="0" name="daily-brief-2026-07-09-web-summary.png"/>
                    <pic:cNvPicPr/>
                  </pic:nvPicPr>
                  <pic:blipFill>
                    <a:blip r:embed="rId11"/>
                    <a:stretch>
                      <a:fillRect/>
                    </a:stretch>
                  </pic:blipFill>
                  <pic:spPr>
                    <a:xfrm>
                      <a:off x="0" y="0"/>
                      <a:ext cx="5806440" cy="3870960"/>
                    </a:xfrm>
                    <a:prstGeom prst="rect"/>
                  </pic:spPr>
                </pic:pic>
              </a:graphicData>
            </a:graphic>
          </wp:inline>
        </w:drawing>
      </w:r>
    </w:p>
    <w:p>
      <w:pPr>
        <w:keepNext w:val="0"/>
        <w:spacing w:before="0" w:after="200" w:line="264" w:lineRule="auto"/>
        <w:jc w:val="center"/>
      </w:pPr>
      <w:r>
        <w:rPr>
          <w:rFonts w:ascii="Calibri" w:hAnsi="Calibri" w:eastAsia="Arial Unicode MS"/>
          <w:b w:val="0"/>
          <w:i/>
          <w:color w:val="667085"/>
          <w:sz w:val="17"/>
        </w:rPr>
        <w:t>Figure 1. Webpage snapshot of the daily synthesis and key operating metrics.</w:t>
      </w:r>
    </w:p>
    <w:p>
      <w:pPr>
        <w:pStyle w:val="Heading1"/>
      </w:pPr>
      <w:r>
        <w:t>1. 综合研判</w:t>
      </w:r>
    </w:p>
    <w:p>
      <w:pPr>
        <w:spacing w:after="140"/>
        <w:ind w:left="259" w:hanging="259"/>
      </w:pPr>
      <w:r>
        <w:rPr>
          <w:rFonts w:ascii="Calibri" w:hAnsi="Calibri" w:eastAsia="Arial Unicode MS"/>
          <w:b/>
          <w:color w:val="285B9D"/>
          <w:sz w:val="21"/>
        </w:rPr>
        <w:t xml:space="preserve">主线判断: </w:t>
      </w:r>
      <w:hyperlink r:id="rId12">
        <w:r>
          <w:rPr>
            <w:color w:val="285B9D"/>
            <w:u w:val="single"/>
            <w:rFonts w:eastAsia="Arial Unicode MS" w:ascii="Calibri" w:hAnsi="Calibri"/>
          </w:rPr>
          <w:t>核电PPA确定性对AI数据中心扩容节奏的约束效应，2026-07-09 是今日最高权重结论，核心证据来自 未识别，关联 AI 基础设施。</w:t>
        </w:r>
      </w:hyperlink>
    </w:p>
    <w:p>
      <w:pPr>
        <w:spacing w:after="140"/>
        <w:ind w:left="259" w:hanging="259"/>
      </w:pPr>
      <w:r>
        <w:rPr>
          <w:rFonts w:ascii="Calibri" w:hAnsi="Calibri" w:eastAsia="Arial Unicode MS"/>
          <w:b/>
          <w:color w:val="285B9D"/>
          <w:sz w:val="21"/>
        </w:rPr>
        <w:t xml:space="preserve">变化信号: </w:t>
      </w:r>
      <w:r>
        <w:rPr>
          <w:rFonts w:ascii="Calibri" w:hAnsi="Calibri" w:eastAsia="Arial Unicode MS"/>
          <w:color w:val="111827"/>
          <w:sz w:val="21"/>
        </w:rPr>
        <w:t>A股 今日 降温，当日计数 159，前一日计数 222。</w:t>
      </w:r>
    </w:p>
    <w:p>
      <w:pPr>
        <w:spacing w:after="140"/>
        <w:ind w:left="259" w:hanging="259"/>
      </w:pPr>
      <w:r>
        <w:rPr>
          <w:rFonts w:ascii="Calibri" w:hAnsi="Calibri" w:eastAsia="Arial Unicode MS"/>
          <w:b/>
          <w:color w:val="285B9D"/>
          <w:sz w:val="21"/>
        </w:rPr>
        <w:t xml:space="preserve">风险焦点: </w:t>
      </w:r>
      <w:hyperlink r:id="rId13">
        <w:r>
          <w:rPr>
            <w:color w:val="285B9D"/>
            <w:u w:val="single"/>
            <w:rFonts w:eastAsia="Arial Unicode MS" w:ascii="Calibri" w:hAnsi="Calibri"/>
          </w:rPr>
          <w:t>风险矩阵最需要跟踪的是 AI 基础设施：AI 算力开支刚性与北美变压器及并网物理瓶颈的估值博弈。</w:t>
        </w:r>
      </w:hyperlink>
    </w:p>
    <w:p>
      <w:pPr>
        <w:spacing w:after="140"/>
        <w:ind w:left="259" w:hanging="259"/>
      </w:pPr>
      <w:r>
        <w:rPr>
          <w:rFonts w:ascii="Calibri" w:hAnsi="Calibri" w:eastAsia="Arial Unicode MS"/>
          <w:b/>
          <w:color w:val="285B9D"/>
          <w:sz w:val="21"/>
        </w:rPr>
        <w:t xml:space="preserve">证据密度: </w:t>
      </w:r>
      <w:hyperlink r:id="rId14">
        <w:r>
          <w:rPr>
            <w:color w:val="285B9D"/>
            <w:u w:val="single"/>
            <w:rFonts w:eastAsia="Arial Unicode MS" w:ascii="Calibri" w:hAnsi="Calibri"/>
          </w:rPr>
          <w:t>宏观通胀传导 今日 226 条、近七日 1490 条，风险信号 1063 条。</w:t>
        </w:r>
      </w:hyperlink>
    </w:p>
    <w:tbl>
      <w:tblPr>
        <w:tblW w:type="dxa" w:w="9360"/>
        <w:jc w:val="left"/>
        <w:tblLayout w:type="fixed"/>
        <w:tblLook w:firstColumn="1" w:firstRow="1" w:lastColumn="0" w:lastRow="0" w:noHBand="0" w:noVBand="1" w:val="04A0"/>
      </w:tblPr>
      <w:tblGrid>
        <w:gridCol w:w="9360"/>
      </w:tblGrid>
      <w:tr>
        <w:tc>
          <w:tcPr>
            <w:tcW w:type="dxa" w:w="9360"/>
            <w:vAlign w:val="center"/>
            <w:shd w:fill="FFF7E6"/>
          </w:tcPr>
          <w:p>
            <w:r>
              <w:rPr>
                <w:rFonts w:ascii="Calibri" w:hAnsi="Calibri" w:eastAsia="Arial Unicode MS"/>
                <w:b/>
                <w:color w:val="7A5A00"/>
                <w:sz w:val="21"/>
              </w:rPr>
              <w:t xml:space="preserve">投资解读: </w:t>
            </w:r>
            <w:r>
              <w:rPr>
                <w:rFonts w:ascii="Calibri" w:hAnsi="Calibri" w:eastAsia="Arial Unicode MS"/>
                <w:color w:val="7C2D12"/>
                <w:sz w:val="21"/>
              </w:rPr>
              <w:t>投资含义上，本日简报更适合作为主题和风险筛选器：先看行业链雷达确认资金关注方向，再用风险矩阵排除证据不足或约束过强的交易表达。</w:t>
            </w:r>
          </w:p>
        </w:tc>
      </w:tr>
    </w:tbl>
    <w:p>
      <w:pPr>
        <w:spacing w:before="0" w:after="120" w:line="264" w:lineRule="auto"/>
      </w:pPr>
    </w:p>
    <w:p>
      <w:pPr>
        <w:pStyle w:val="Heading1"/>
      </w:pPr>
      <w:r>
        <w:t>2. 可视化仪表板</w:t>
      </w:r>
    </w:p>
    <w:p>
      <w:pPr>
        <w:spacing w:before="40" w:after="60"/>
        <w:jc w:val="center"/>
      </w:pPr>
      <w:r>
        <w:drawing>
          <wp:inline xmlns:a="http://schemas.openxmlformats.org/drawingml/2006/main" xmlns:pic="http://schemas.openxmlformats.org/drawingml/2006/picture">
            <wp:extent cx="5806440" cy="3870960"/>
            <wp:docPr id="2" name="Picture 2"/>
            <wp:cNvGraphicFramePr>
              <a:graphicFrameLocks noChangeAspect="1"/>
            </wp:cNvGraphicFramePr>
            <a:graphic>
              <a:graphicData uri="http://schemas.openxmlformats.org/drawingml/2006/picture">
                <pic:pic>
                  <pic:nvPicPr>
                    <pic:cNvPr id="0" name="daily-brief-2026-07-09-web-trend.png"/>
                    <pic:cNvPicPr/>
                  </pic:nvPicPr>
                  <pic:blipFill>
                    <a:blip r:embed="rId15"/>
                    <a:stretch>
                      <a:fillRect/>
                    </a:stretch>
                  </pic:blipFill>
                  <pic:spPr>
                    <a:xfrm>
                      <a:off x="0" y="0"/>
                      <a:ext cx="5806440" cy="3870960"/>
                    </a:xfrm>
                    <a:prstGeom prst="rect"/>
                  </pic:spPr>
                </pic:pic>
              </a:graphicData>
            </a:graphic>
          </wp:inline>
        </w:drawing>
      </w:r>
    </w:p>
    <w:p>
      <w:pPr>
        <w:keepNext w:val="0"/>
        <w:spacing w:before="0" w:after="200" w:line="264" w:lineRule="auto"/>
        <w:jc w:val="center"/>
      </w:pPr>
      <w:r>
        <w:rPr>
          <w:rFonts w:ascii="Calibri" w:hAnsi="Calibri" w:eastAsia="Arial Unicode MS"/>
          <w:b w:val="0"/>
          <w:i/>
          <w:color w:val="667085"/>
          <w:sz w:val="17"/>
        </w:rPr>
        <w:t>Figure 2. Webpage snapshot of topic momentum and daily change signals.</w:t>
      </w:r>
    </w:p>
    <w:p>
      <w:pPr>
        <w:spacing w:before="40" w:after="60"/>
        <w:jc w:val="center"/>
      </w:pPr>
      <w:r>
        <w:drawing>
          <wp:inline xmlns:a="http://schemas.openxmlformats.org/drawingml/2006/main" xmlns:pic="http://schemas.openxmlformats.org/drawingml/2006/picture">
            <wp:extent cx="5806440" cy="3870960"/>
            <wp:docPr id="3" name="Picture 3"/>
            <wp:cNvGraphicFramePr>
              <a:graphicFrameLocks noChangeAspect="1"/>
            </wp:cNvGraphicFramePr>
            <a:graphic>
              <a:graphicData uri="http://schemas.openxmlformats.org/drawingml/2006/picture">
                <pic:pic>
                  <pic:nvPicPr>
                    <pic:cNvPr id="0" name="daily-brief-2026-07-09-web-chains.png"/>
                    <pic:cNvPicPr/>
                  </pic:nvPicPr>
                  <pic:blipFill>
                    <a:blip r:embed="rId16"/>
                    <a:stretch>
                      <a:fillRect/>
                    </a:stretch>
                  </pic:blipFill>
                  <pic:spPr>
                    <a:xfrm>
                      <a:off x="0" y="0"/>
                      <a:ext cx="5806440" cy="3870960"/>
                    </a:xfrm>
                    <a:prstGeom prst="rect"/>
                  </pic:spPr>
                </pic:pic>
              </a:graphicData>
            </a:graphic>
          </wp:inline>
        </w:drawing>
      </w:r>
    </w:p>
    <w:p>
      <w:pPr>
        <w:keepNext w:val="0"/>
        <w:spacing w:before="0" w:after="200" w:line="264" w:lineRule="auto"/>
        <w:jc w:val="center"/>
      </w:pPr>
      <w:r>
        <w:rPr>
          <w:rFonts w:ascii="Calibri" w:hAnsi="Calibri" w:eastAsia="Arial Unicode MS"/>
          <w:b w:val="0"/>
          <w:i/>
          <w:color w:val="667085"/>
          <w:sz w:val="17"/>
        </w:rPr>
        <w:t>Figure 3. Webpage snapshot of industry-chain heat and evidence links.</w:t>
      </w:r>
    </w:p>
    <w:p>
      <w:r>
        <w:br w:type="page"/>
      </w:r>
    </w:p>
    <w:p>
      <w:pPr>
        <w:spacing w:before="40" w:after="60"/>
        <w:jc w:val="center"/>
      </w:pPr>
      <w:r>
        <w:drawing>
          <wp:inline xmlns:a="http://schemas.openxmlformats.org/drawingml/2006/main" xmlns:pic="http://schemas.openxmlformats.org/drawingml/2006/picture">
            <wp:extent cx="5806440" cy="3870960"/>
            <wp:docPr id="4" name="Picture 4"/>
            <wp:cNvGraphicFramePr>
              <a:graphicFrameLocks noChangeAspect="1"/>
            </wp:cNvGraphicFramePr>
            <a:graphic>
              <a:graphicData uri="http://schemas.openxmlformats.org/drawingml/2006/picture">
                <pic:pic>
                  <pic:nvPicPr>
                    <pic:cNvPr id="0" name="daily-brief-2026-07-09-web-risk.png"/>
                    <pic:cNvPicPr/>
                  </pic:nvPicPr>
                  <pic:blipFill>
                    <a:blip r:embed="rId17"/>
                    <a:stretch>
                      <a:fillRect/>
                    </a:stretch>
                  </pic:blipFill>
                  <pic:spPr>
                    <a:xfrm>
                      <a:off x="0" y="0"/>
                      <a:ext cx="5806440" cy="3870960"/>
                    </a:xfrm>
                    <a:prstGeom prst="rect"/>
                  </pic:spPr>
                </pic:pic>
              </a:graphicData>
            </a:graphic>
          </wp:inline>
        </w:drawing>
      </w:r>
    </w:p>
    <w:p>
      <w:pPr>
        <w:keepNext w:val="0"/>
        <w:spacing w:before="0" w:after="200" w:line="264" w:lineRule="auto"/>
        <w:jc w:val="center"/>
      </w:pPr>
      <w:r>
        <w:rPr>
          <w:rFonts w:ascii="Calibri" w:hAnsi="Calibri" w:eastAsia="Arial Unicode MS"/>
          <w:b w:val="0"/>
          <w:i/>
          <w:color w:val="667085"/>
          <w:sz w:val="17"/>
        </w:rPr>
        <w:t>Figure 4. Webpage snapshot of the risk matrix and pressure-test items.</w:t>
      </w:r>
    </w:p>
    <w:p>
      <w:r>
        <w:br w:type="page"/>
      </w:r>
    </w:p>
    <w:p>
      <w:pPr>
        <w:spacing w:before="40" w:after="60"/>
        <w:jc w:val="center"/>
      </w:pPr>
      <w:r>
        <w:drawing>
          <wp:inline xmlns:a="http://schemas.openxmlformats.org/drawingml/2006/main" xmlns:pic="http://schemas.openxmlformats.org/drawingml/2006/picture">
            <wp:extent cx="5806440" cy="3870960"/>
            <wp:docPr id="5" name="Picture 5"/>
            <wp:cNvGraphicFramePr>
              <a:graphicFrameLocks noChangeAspect="1"/>
            </wp:cNvGraphicFramePr>
            <a:graphic>
              <a:graphicData uri="http://schemas.openxmlformats.org/drawingml/2006/picture">
                <pic:pic>
                  <pic:nvPicPr>
                    <pic:cNvPr id="0" name="daily-brief-2026-07-09-web-heatmap.png"/>
                    <pic:cNvPicPr/>
                  </pic:nvPicPr>
                  <pic:blipFill>
                    <a:blip r:embed="rId18"/>
                    <a:stretch>
                      <a:fillRect/>
                    </a:stretch>
                  </pic:blipFill>
                  <pic:spPr>
                    <a:xfrm>
                      <a:off x="0" y="0"/>
                      <a:ext cx="5806440" cy="3870960"/>
                    </a:xfrm>
                    <a:prstGeom prst="rect"/>
                  </pic:spPr>
                </pic:pic>
              </a:graphicData>
            </a:graphic>
          </wp:inline>
        </w:drawing>
      </w:r>
    </w:p>
    <w:p>
      <w:pPr>
        <w:keepNext w:val="0"/>
        <w:spacing w:before="0" w:after="200" w:line="264" w:lineRule="auto"/>
        <w:jc w:val="center"/>
      </w:pPr>
      <w:r>
        <w:rPr>
          <w:rFonts w:ascii="Calibri" w:hAnsi="Calibri" w:eastAsia="Arial Unicode MS"/>
          <w:b w:val="0"/>
          <w:i/>
          <w:color w:val="667085"/>
          <w:sz w:val="17"/>
        </w:rPr>
        <w:t>Figure 5. Webpage snapshot of analyst activity and ranked conclusions.</w:t>
      </w:r>
    </w:p>
    <w:p>
      <w:pPr>
        <w:pStyle w:val="Heading1"/>
      </w:pPr>
      <w:r>
        <w:t>3. 今日核心结论</w:t>
      </w:r>
    </w:p>
    <w:p>
      <w:pPr>
        <w:spacing w:before="0" w:after="40" w:line="264" w:lineRule="auto"/>
      </w:pPr>
      <w:r>
        <w:rPr>
          <w:rFonts w:ascii="Calibri" w:hAnsi="Calibri" w:eastAsia="Arial Unicode MS"/>
          <w:b/>
          <w:i w:val="0"/>
          <w:color w:val="0B2545"/>
          <w:sz w:val="23"/>
        </w:rPr>
        <w:t>1. 核电PPA确定性对AI数据中心扩容节奏的约束效应，2026-07-09</w:t>
      </w:r>
    </w:p>
    <w:p>
      <w:pPr>
        <w:spacing w:before="0" w:after="40" w:line="264" w:lineRule="auto"/>
      </w:pPr>
      <w:r>
        <w:rPr>
          <w:rFonts w:ascii="Calibri" w:hAnsi="Calibri" w:eastAsia="Arial Unicode MS"/>
          <w:b w:val="0"/>
          <w:i w:val="0"/>
          <w:color w:val="667085"/>
          <w:sz w:val="17"/>
        </w:rPr>
        <w:t>未识别 · AI 基础设施 · score 56.4</w:t>
      </w:r>
    </w:p>
    <w:p>
      <w:pPr>
        <w:spacing w:before="0" w:after="100" w:line="264" w:lineRule="auto"/>
      </w:pPr>
      <w:r>
        <w:rPr>
          <w:rFonts w:ascii="Calibri" w:hAnsi="Calibri" w:eastAsia="Arial Unicode MS"/>
          <w:b w:val="0"/>
          <w:i w:val="0"/>
          <w:color w:val="334155"/>
          <w:sz w:val="20"/>
        </w:rPr>
        <w:t>分析师： AI基础设施分析师 - 工作日期： 2026-07-09（亚洲/新加坡） - 根主题： AI电力瓶颈与核能公用事业估值重塑 - 主题： CEG/VST等核电容量的监管节点如何决定Hyperscaler下一代GPU集群的...</w:t>
      </w:r>
    </w:p>
    <w:p>
      <w:pPr>
        <w:spacing w:before="0" w:after="160" w:line="264" w:lineRule="auto"/>
      </w:pPr>
      <w:r>
        <w:rPr>
          <w:rFonts w:ascii="Calibri" w:hAnsi="Calibri" w:eastAsia="Arial Unicode MS"/>
          <w:b w:val="0"/>
          <w:i w:val="0"/>
          <w:color w:val="667085"/>
          <w:sz w:val="17"/>
        </w:rPr>
        <w:t xml:space="preserve">Report: </w:t>
      </w:r>
      <w:hyperlink r:id="rId12">
        <w:r>
          <w:rPr>
            <w:color w:val="285B9D"/>
            <w:u w:val="single"/>
            <w:rFonts w:eastAsia="Arial Unicode MS" w:ascii="Calibri" w:hAnsi="Calibri"/>
          </w:rPr>
          <w:t>reports/archive-fb093b6c650b</w:t>
        </w:r>
      </w:hyperlink>
    </w:p>
    <w:p>
      <w:pPr>
        <w:spacing w:before="0" w:after="40" w:line="264" w:lineRule="auto"/>
      </w:pPr>
      <w:r>
        <w:rPr>
          <w:rFonts w:ascii="Calibri" w:hAnsi="Calibri" w:eastAsia="Arial Unicode MS"/>
          <w:b/>
          <w:i w:val="0"/>
          <w:color w:val="0B2545"/>
          <w:sz w:val="23"/>
        </w:rPr>
        <w:t>2. GPU/HBM/先进封装交付节奏与核电可交付电力窗口的匹配度，2026-07-09</w:t>
      </w:r>
    </w:p>
    <w:p>
      <w:pPr>
        <w:spacing w:before="0" w:after="40" w:line="264" w:lineRule="auto"/>
      </w:pPr>
      <w:r>
        <w:rPr>
          <w:rFonts w:ascii="Calibri" w:hAnsi="Calibri" w:eastAsia="Arial Unicode MS"/>
          <w:b w:val="0"/>
          <w:i w:val="0"/>
          <w:color w:val="667085"/>
          <w:sz w:val="17"/>
        </w:rPr>
        <w:t>未识别 · AI 基础设施 · score 54.9</w:t>
      </w:r>
    </w:p>
    <w:p>
      <w:pPr>
        <w:spacing w:before="0" w:after="100" w:line="264" w:lineRule="auto"/>
      </w:pPr>
      <w:r>
        <w:rPr>
          <w:rFonts w:ascii="Calibri" w:hAnsi="Calibri" w:eastAsia="Arial Unicode MS"/>
          <w:b w:val="0"/>
          <w:i w:val="0"/>
          <w:color w:val="334155"/>
          <w:sz w:val="20"/>
        </w:rPr>
        <w:t>GPU/HBM/先进封装交付节奏与核电可交付电力窗口的匹配度，2026-07-09</w:t>
      </w:r>
    </w:p>
    <w:p>
      <w:pPr>
        <w:spacing w:before="0" w:after="160" w:line="264" w:lineRule="auto"/>
      </w:pPr>
      <w:r>
        <w:rPr>
          <w:rFonts w:ascii="Calibri" w:hAnsi="Calibri" w:eastAsia="Arial Unicode MS"/>
          <w:b w:val="0"/>
          <w:i w:val="0"/>
          <w:color w:val="667085"/>
          <w:sz w:val="17"/>
        </w:rPr>
        <w:t xml:space="preserve">Report: </w:t>
      </w:r>
      <w:hyperlink r:id="rId19">
        <w:r>
          <w:rPr>
            <w:color w:val="285B9D"/>
            <w:u w:val="single"/>
            <w:rFonts w:eastAsia="Arial Unicode MS" w:ascii="Calibri" w:hAnsi="Calibri"/>
          </w:rPr>
          <w:t>reports/archive-31a7794cfb76</w:t>
        </w:r>
      </w:hyperlink>
    </w:p>
    <w:p>
      <w:pPr>
        <w:spacing w:before="0" w:after="40" w:line="264" w:lineRule="auto"/>
      </w:pPr>
      <w:r>
        <w:rPr>
          <w:rFonts w:ascii="Calibri" w:hAnsi="Calibri" w:eastAsia="Arial Unicode MS"/>
          <w:b/>
          <w:i w:val="0"/>
          <w:color w:val="0B2545"/>
          <w:sz w:val="23"/>
        </w:rPr>
        <w:t>3. AI电力瓶颈与核能公用事业估值重塑 - 2026-07-09</w:t>
      </w:r>
    </w:p>
    <w:p>
      <w:pPr>
        <w:spacing w:before="0" w:after="40" w:line="264" w:lineRule="auto"/>
      </w:pPr>
      <w:r>
        <w:rPr>
          <w:rFonts w:ascii="Calibri" w:hAnsi="Calibri" w:eastAsia="Arial Unicode MS"/>
          <w:b w:val="0"/>
          <w:i w:val="0"/>
          <w:color w:val="667085"/>
          <w:sz w:val="17"/>
        </w:rPr>
        <w:t>未识别 · AI 基础设施 · score 54.5</w:t>
      </w:r>
    </w:p>
    <w:p>
      <w:pPr>
        <w:spacing w:before="0" w:after="100" w:line="264" w:lineRule="auto"/>
      </w:pPr>
      <w:r>
        <w:rPr>
          <w:rFonts w:ascii="Calibri" w:hAnsi="Calibri" w:eastAsia="Arial Unicode MS"/>
          <w:b w:val="0"/>
          <w:i w:val="0"/>
          <w:color w:val="334155"/>
          <w:sz w:val="20"/>
        </w:rPr>
        <w:t>截至2026-07-09，我支持并推进所内既有判断“AI数据中心电力瓶颈与核能PPA战略转型”以及 thesis th T01：边际变化不再是“核电是清洁能源”，而是已签约核电出力正在成为可交付AI算力的稀缺投...</w:t>
      </w:r>
    </w:p>
    <w:p>
      <w:pPr>
        <w:spacing w:before="0" w:after="160" w:line="264" w:lineRule="auto"/>
      </w:pPr>
      <w:r>
        <w:rPr>
          <w:rFonts w:ascii="Calibri" w:hAnsi="Calibri" w:eastAsia="Arial Unicode MS"/>
          <w:b w:val="0"/>
          <w:i w:val="0"/>
          <w:color w:val="667085"/>
          <w:sz w:val="17"/>
        </w:rPr>
        <w:t xml:space="preserve">Report: </w:t>
      </w:r>
      <w:hyperlink r:id="rId20">
        <w:r>
          <w:rPr>
            <w:color w:val="285B9D"/>
            <w:u w:val="single"/>
            <w:rFonts w:eastAsia="Arial Unicode MS" w:ascii="Calibri" w:hAnsi="Calibri"/>
          </w:rPr>
          <w:t>reports/archive-887d4a2f0532</w:t>
        </w:r>
      </w:hyperlink>
    </w:p>
    <w:p>
      <w:pPr>
        <w:spacing w:before="0" w:after="40" w:line="264" w:lineRule="auto"/>
      </w:pPr>
      <w:r>
        <w:rPr>
          <w:rFonts w:ascii="Calibri" w:hAnsi="Calibri" w:eastAsia="Arial Unicode MS"/>
          <w:b/>
          <w:i w:val="0"/>
          <w:color w:val="0B2545"/>
          <w:sz w:val="23"/>
        </w:rPr>
        <w:t>4. 核电PPA溢价向公用事业盈利模型的逐合同映射</w:t>
      </w:r>
    </w:p>
    <w:p>
      <w:pPr>
        <w:spacing w:before="0" w:after="40" w:line="264" w:lineRule="auto"/>
      </w:pPr>
      <w:r>
        <w:rPr>
          <w:rFonts w:ascii="Calibri" w:hAnsi="Calibri" w:eastAsia="Arial Unicode MS"/>
          <w:b w:val="0"/>
          <w:i w:val="0"/>
          <w:color w:val="667085"/>
          <w:sz w:val="17"/>
        </w:rPr>
        <w:t>未识别 · 电力与电网 · score 50.0</w:t>
      </w:r>
    </w:p>
    <w:p>
      <w:pPr>
        <w:spacing w:before="0" w:after="100" w:line="264" w:lineRule="auto"/>
      </w:pPr>
      <w:r>
        <w:rPr>
          <w:rFonts w:ascii="Calibri" w:hAnsi="Calibri" w:eastAsia="Arial Unicode MS"/>
          <w:b w:val="0"/>
          <w:i w:val="0"/>
          <w:color w:val="334155"/>
          <w:sz w:val="20"/>
        </w:rPr>
        <w:t>分析师： 公用事业分析师（Utilities Analyst） - 工作日期： 2026-07-09（亚洲/新加坡） - 根主题： AI电力瓶颈与核能公用事业估值重塑 - 主题： 核电PPA溢价向公用事业盈利模型的逐合同映射 -...</w:t>
      </w:r>
    </w:p>
    <w:p>
      <w:pPr>
        <w:spacing w:before="0" w:after="160" w:line="264" w:lineRule="auto"/>
      </w:pPr>
      <w:r>
        <w:rPr>
          <w:rFonts w:ascii="Calibri" w:hAnsi="Calibri" w:eastAsia="Arial Unicode MS"/>
          <w:b w:val="0"/>
          <w:i w:val="0"/>
          <w:color w:val="667085"/>
          <w:sz w:val="17"/>
        </w:rPr>
        <w:t xml:space="preserve">Report: </w:t>
      </w:r>
      <w:hyperlink r:id="rId21">
        <w:r>
          <w:rPr>
            <w:color w:val="285B9D"/>
            <w:u w:val="single"/>
            <w:rFonts w:eastAsia="Arial Unicode MS" w:ascii="Calibri" w:hAnsi="Calibri"/>
          </w:rPr>
          <w:t>reports/archive-57084b8652e9</w:t>
        </w:r>
      </w:hyperlink>
    </w:p>
    <w:p>
      <w:pPr>
        <w:spacing w:before="0" w:after="40" w:line="264" w:lineRule="auto"/>
      </w:pPr>
      <w:r>
        <w:rPr>
          <w:rFonts w:ascii="Calibri" w:hAnsi="Calibri" w:eastAsia="Arial Unicode MS"/>
          <w:b/>
          <w:i w:val="0"/>
          <w:color w:val="0B2545"/>
          <w:sz w:val="23"/>
        </w:rPr>
        <w:t>5. A股电网设备与Hi-B硅钢出海链：地缘贸易壁垒下的毛利率重估</w:t>
      </w:r>
    </w:p>
    <w:p>
      <w:pPr>
        <w:spacing w:before="0" w:after="40" w:line="264" w:lineRule="auto"/>
      </w:pPr>
      <w:r>
        <w:rPr>
          <w:rFonts w:ascii="Calibri" w:hAnsi="Calibri" w:eastAsia="Arial Unicode MS"/>
          <w:b w:val="0"/>
          <w:i w:val="0"/>
          <w:color w:val="667085"/>
          <w:sz w:val="17"/>
        </w:rPr>
        <w:t>未识别 · 宏观通胀传导 · score 50.0</w:t>
      </w:r>
    </w:p>
    <w:p>
      <w:pPr>
        <w:spacing w:before="0" w:after="100" w:line="264" w:lineRule="auto"/>
      </w:pPr>
      <w:r>
        <w:rPr>
          <w:rFonts w:ascii="Calibri" w:hAnsi="Calibri" w:eastAsia="Arial Unicode MS"/>
          <w:b w:val="0"/>
          <w:i w:val="0"/>
          <w:color w:val="334155"/>
          <w:sz w:val="20"/>
        </w:rPr>
        <w:t>作者： 材料行业分析师（ materials-analyst ） 立场： 压力测试（针对prior research notes所承接的"陆地电网锁死"论点 th T01）——最终经由一条全新的材料贸易机制得出 强化 结论 研究记录...</w:t>
      </w:r>
    </w:p>
    <w:p>
      <w:pPr>
        <w:spacing w:before="0" w:after="160" w:line="264" w:lineRule="auto"/>
      </w:pPr>
      <w:r>
        <w:rPr>
          <w:rFonts w:ascii="Calibri" w:hAnsi="Calibri" w:eastAsia="Arial Unicode MS"/>
          <w:b w:val="0"/>
          <w:i w:val="0"/>
          <w:color w:val="667085"/>
          <w:sz w:val="17"/>
        </w:rPr>
        <w:t xml:space="preserve">Report: </w:t>
      </w:r>
      <w:hyperlink r:id="rId22">
        <w:r>
          <w:rPr>
            <w:color w:val="285B9D"/>
            <w:u w:val="single"/>
            <w:rFonts w:eastAsia="Arial Unicode MS" w:ascii="Calibri" w:hAnsi="Calibri"/>
          </w:rPr>
          <w:t>reports/archive-04ed11750f7a</w:t>
        </w:r>
      </w:hyperlink>
    </w:p>
    <w:p>
      <w:pPr>
        <w:spacing w:before="0" w:after="40" w:line="264" w:lineRule="auto"/>
      </w:pPr>
      <w:r>
        <w:rPr>
          <w:rFonts w:ascii="Calibri" w:hAnsi="Calibri" w:eastAsia="Arial Unicode MS"/>
          <w:b/>
          <w:i w:val="0"/>
          <w:color w:val="0B2545"/>
          <w:sz w:val="23"/>
        </w:rPr>
        <w:t>6. 陆地电网并网瓶颈的解耦路径与轨道AI算力的终值重估</w:t>
      </w:r>
    </w:p>
    <w:p>
      <w:pPr>
        <w:spacing w:before="0" w:after="40" w:line="264" w:lineRule="auto"/>
      </w:pPr>
      <w:r>
        <w:rPr>
          <w:rFonts w:ascii="Calibri" w:hAnsi="Calibri" w:eastAsia="Arial Unicode MS"/>
          <w:b w:val="0"/>
          <w:i w:val="0"/>
          <w:color w:val="667085"/>
          <w:sz w:val="17"/>
        </w:rPr>
        <w:t>未识别 · AI 基础设施 · score 48.1</w:t>
      </w:r>
    </w:p>
    <w:p>
      <w:pPr>
        <w:spacing w:before="0" w:after="100" w:line="264" w:lineRule="auto"/>
      </w:pPr>
      <w:r>
        <w:rPr>
          <w:rFonts w:ascii="Calibri" w:hAnsi="Calibri" w:eastAsia="Arial Unicode MS"/>
          <w:b w:val="0"/>
          <w:i w:val="0"/>
          <w:color w:val="334155"/>
          <w:sz w:val="20"/>
        </w:rPr>
        <w:t>陆地电网并网瓶颈的解耦路径与轨道AI算力的终值重估 报告日期： 2026-07-09 分析师： 公用事业分析师 (Utilities-Analyst)</w:t>
      </w:r>
    </w:p>
    <w:p>
      <w:pPr>
        <w:spacing w:before="0" w:after="160" w:line="264" w:lineRule="auto"/>
      </w:pPr>
      <w:r>
        <w:rPr>
          <w:rFonts w:ascii="Calibri" w:hAnsi="Calibri" w:eastAsia="Arial Unicode MS"/>
          <w:b w:val="0"/>
          <w:i w:val="0"/>
          <w:color w:val="667085"/>
          <w:sz w:val="17"/>
        </w:rPr>
        <w:t xml:space="preserve">Report: </w:t>
      </w:r>
      <w:hyperlink r:id="rId23">
        <w:r>
          <w:rPr>
            <w:color w:val="285B9D"/>
            <w:u w:val="single"/>
            <w:rFonts w:eastAsia="Arial Unicode MS" w:ascii="Calibri" w:hAnsi="Calibri"/>
          </w:rPr>
          <w:t>reports/archive-4740d7c7d4bb</w:t>
        </w:r>
      </w:hyperlink>
    </w:p>
    <w:p>
      <w:pPr>
        <w:pStyle w:val="Heading1"/>
      </w:pPr>
      <w:r>
        <w:t>4. 重点跟踪事项</w:t>
      </w:r>
    </w:p>
    <w:p>
      <w:pPr>
        <w:spacing w:before="0" w:after="40" w:line="264" w:lineRule="auto"/>
      </w:pPr>
      <w:r>
        <w:rPr>
          <w:rFonts w:ascii="Calibri" w:hAnsi="Calibri" w:eastAsia="Arial Unicode MS"/>
          <w:b/>
          <w:i w:val="0"/>
          <w:color w:val="0B2545"/>
          <w:sz w:val="22"/>
        </w:rPr>
        <w:t>AI 算力开支刚性与北美变压器及并网物理瓶颈的估值博弈</w:t>
      </w:r>
    </w:p>
    <w:p>
      <w:pPr>
        <w:spacing w:before="0" w:after="60" w:line="264" w:lineRule="auto"/>
      </w:pPr>
      <w:r>
        <w:rPr>
          <w:rFonts w:ascii="Calibri" w:hAnsi="Calibri" w:eastAsia="Arial Unicode MS"/>
          <w:b w:val="0"/>
          <w:i w:val="0"/>
          <w:color w:val="334155"/>
          <w:sz w:val="20"/>
        </w:rPr>
        <w:t>AI 基础设施，影响 5 / 概率 3</w:t>
      </w:r>
    </w:p>
    <w:p>
      <w:pPr>
        <w:spacing w:before="0" w:after="160" w:line="264" w:lineRule="auto"/>
      </w:pPr>
      <w:r>
        <w:rPr>
          <w:rFonts w:ascii="Calibri" w:hAnsi="Calibri" w:eastAsia="Arial Unicode MS"/>
          <w:b w:val="0"/>
          <w:i w:val="0"/>
          <w:color w:val="667085"/>
          <w:sz w:val="17"/>
        </w:rPr>
        <w:t xml:space="preserve">Report: </w:t>
      </w:r>
      <w:hyperlink r:id="rId13">
        <w:r>
          <w:rPr>
            <w:color w:val="285B9D"/>
            <w:u w:val="single"/>
            <w:rFonts w:eastAsia="Arial Unicode MS" w:ascii="Calibri" w:hAnsi="Calibri"/>
          </w:rPr>
          <w:t>reports/archive-db053b73b427</w:t>
        </w:r>
      </w:hyperlink>
    </w:p>
    <w:p>
      <w:pPr>
        <w:spacing w:before="0" w:after="40" w:line="264" w:lineRule="auto"/>
      </w:pPr>
      <w:r>
        <w:rPr>
          <w:rFonts w:ascii="Calibri" w:hAnsi="Calibri" w:eastAsia="Arial Unicode MS"/>
          <w:b/>
          <w:i w:val="0"/>
          <w:color w:val="0B2545"/>
          <w:sz w:val="22"/>
        </w:rPr>
        <w:t>中国电网设备与液冷温控供应链产能瓶颈及交付周期分析</w:t>
      </w:r>
    </w:p>
    <w:p>
      <w:pPr>
        <w:spacing w:before="0" w:after="60" w:line="264" w:lineRule="auto"/>
      </w:pPr>
      <w:r>
        <w:rPr>
          <w:rFonts w:ascii="Calibri" w:hAnsi="Calibri" w:eastAsia="Arial Unicode MS"/>
          <w:b w:val="0"/>
          <w:i w:val="0"/>
          <w:color w:val="334155"/>
          <w:sz w:val="20"/>
        </w:rPr>
        <w:t>工业供给瓶颈，影响 5 / 概率 5</w:t>
      </w:r>
    </w:p>
    <w:p>
      <w:pPr>
        <w:spacing w:before="0" w:after="160" w:line="264" w:lineRule="auto"/>
      </w:pPr>
      <w:r>
        <w:rPr>
          <w:rFonts w:ascii="Calibri" w:hAnsi="Calibri" w:eastAsia="Arial Unicode MS"/>
          <w:b w:val="0"/>
          <w:i w:val="0"/>
          <w:color w:val="667085"/>
          <w:sz w:val="17"/>
        </w:rPr>
        <w:t xml:space="preserve">Report: </w:t>
      </w:r>
      <w:hyperlink r:id="rId24">
        <w:r>
          <w:rPr>
            <w:color w:val="285B9D"/>
            <w:u w:val="single"/>
            <w:rFonts w:eastAsia="Arial Unicode MS" w:ascii="Calibri" w:hAnsi="Calibri"/>
          </w:rPr>
          <w:t>reports/archive-710afaa90d12</w:t>
        </w:r>
      </w:hyperlink>
    </w:p>
    <w:p>
      <w:pPr>
        <w:spacing w:before="0" w:after="40" w:line="264" w:lineRule="auto"/>
      </w:pPr>
      <w:r>
        <w:rPr>
          <w:rFonts w:ascii="Calibri" w:hAnsi="Calibri" w:eastAsia="Arial Unicode MS"/>
          <w:b/>
          <w:i w:val="0"/>
          <w:color w:val="0B2545"/>
          <w:sz w:val="22"/>
        </w:rPr>
        <w:t>研究报告：2026-07-08</w:t>
      </w:r>
    </w:p>
    <w:p>
      <w:pPr>
        <w:spacing w:before="0" w:after="60" w:line="264" w:lineRule="auto"/>
      </w:pPr>
      <w:r>
        <w:rPr>
          <w:rFonts w:ascii="Calibri" w:hAnsi="Calibri" w:eastAsia="Arial Unicode MS"/>
          <w:b w:val="0"/>
          <w:i w:val="0"/>
          <w:color w:val="334155"/>
          <w:sz w:val="20"/>
        </w:rPr>
        <w:t>电力与电网，影响 5 / 概率 3</w:t>
      </w:r>
    </w:p>
    <w:p>
      <w:pPr>
        <w:spacing w:before="0" w:after="160" w:line="264" w:lineRule="auto"/>
      </w:pPr>
      <w:r>
        <w:rPr>
          <w:rFonts w:ascii="Calibri" w:hAnsi="Calibri" w:eastAsia="Arial Unicode MS"/>
          <w:b w:val="0"/>
          <w:i w:val="0"/>
          <w:color w:val="667085"/>
          <w:sz w:val="17"/>
        </w:rPr>
        <w:t xml:space="preserve">Report: </w:t>
      </w:r>
      <w:hyperlink r:id="rId25">
        <w:r>
          <w:rPr>
            <w:color w:val="285B9D"/>
            <w:u w:val="single"/>
            <w:rFonts w:eastAsia="Arial Unicode MS" w:ascii="Calibri" w:hAnsi="Calibri"/>
          </w:rPr>
          <w:t>reports/archive-3cad4d3b9917</w:t>
        </w:r>
      </w:hyperlink>
    </w:p>
    <w:p>
      <w:pPr>
        <w:pStyle w:val="Heading1"/>
      </w:pPr>
      <w:r>
        <w:t>5. 证据表</w:t>
      </w:r>
    </w:p>
    <w:tbl>
      <w:tblPr>
        <w:tblW w:type="dxa" w:w="9360"/>
        <w:jc w:val="left"/>
        <w:tblLayout w:type="fixed"/>
        <w:tblLook w:firstColumn="1" w:firstRow="1" w:lastColumn="0" w:lastRow="0" w:noHBand="0" w:noVBand="1" w:val="04A0"/>
      </w:tblPr>
      <w:tblGrid>
        <w:gridCol w:w="3720"/>
        <w:gridCol w:w="1560"/>
        <w:gridCol w:w="1680"/>
        <w:gridCol w:w="900"/>
        <w:gridCol w:w="1500"/>
      </w:tblGrid>
      <w:tr>
        <w:tc>
          <w:tcPr>
            <w:tcW w:type="dxa" w:w="3720"/>
            <w:vAlign w:val="center"/>
            <w:shd w:fill="F2F4F7"/>
          </w:tcPr>
          <w:p>
            <w:pPr>
              <w:spacing w:before="0" w:after="0"/>
              <w:jc w:val="center"/>
            </w:pPr>
            <w:r/>
            <w:r>
              <w:rPr>
                <w:rFonts w:ascii="Calibri" w:hAnsi="Calibri" w:eastAsia="Arial Unicode MS"/>
                <w:b/>
                <w:color w:val="475569"/>
                <w:sz w:val="18"/>
              </w:rPr>
              <w:t>报告</w:t>
            </w:r>
          </w:p>
        </w:tc>
        <w:tc>
          <w:tcPr>
            <w:tcW w:type="dxa" w:w="1560"/>
            <w:vAlign w:val="center"/>
            <w:shd w:fill="F2F4F7"/>
          </w:tcPr>
          <w:p>
            <w:pPr>
              <w:spacing w:before="0" w:after="0"/>
              <w:jc w:val="center"/>
            </w:pPr>
            <w:r/>
            <w:r>
              <w:rPr>
                <w:rFonts w:ascii="Calibri" w:hAnsi="Calibri" w:eastAsia="Arial Unicode MS"/>
                <w:b/>
                <w:color w:val="475569"/>
                <w:sz w:val="18"/>
              </w:rPr>
              <w:t>分析师</w:t>
            </w:r>
          </w:p>
        </w:tc>
        <w:tc>
          <w:tcPr>
            <w:tcW w:type="dxa" w:w="1680"/>
            <w:vAlign w:val="center"/>
            <w:shd w:fill="F2F4F7"/>
          </w:tcPr>
          <w:p>
            <w:pPr>
              <w:spacing w:before="0" w:after="0"/>
              <w:jc w:val="center"/>
            </w:pPr>
            <w:r/>
            <w:r>
              <w:rPr>
                <w:rFonts w:ascii="Calibri" w:hAnsi="Calibri" w:eastAsia="Arial Unicode MS"/>
                <w:b/>
                <w:color w:val="475569"/>
                <w:sz w:val="18"/>
              </w:rPr>
              <w:t>行业链</w:t>
            </w:r>
          </w:p>
        </w:tc>
        <w:tc>
          <w:tcPr>
            <w:tcW w:type="dxa" w:w="900"/>
            <w:vAlign w:val="center"/>
            <w:shd w:fill="F2F4F7"/>
          </w:tcPr>
          <w:p>
            <w:pPr>
              <w:spacing w:before="0" w:after="0"/>
              <w:jc w:val="center"/>
            </w:pPr>
            <w:r/>
            <w:r>
              <w:rPr>
                <w:rFonts w:ascii="Calibri" w:hAnsi="Calibri" w:eastAsia="Arial Unicode MS"/>
                <w:b/>
                <w:color w:val="475569"/>
                <w:sz w:val="18"/>
              </w:rPr>
              <w:t>评分</w:t>
            </w:r>
          </w:p>
        </w:tc>
        <w:tc>
          <w:tcPr>
            <w:tcW w:type="dxa" w:w="1500"/>
            <w:vAlign w:val="center"/>
            <w:shd w:fill="F2F4F7"/>
          </w:tcPr>
          <w:p>
            <w:pPr>
              <w:spacing w:before="0" w:after="0"/>
              <w:jc w:val="center"/>
            </w:pPr>
            <w:r/>
            <w:r>
              <w:rPr>
                <w:rFonts w:ascii="Calibri" w:hAnsi="Calibri" w:eastAsia="Arial Unicode MS"/>
                <w:b/>
                <w:color w:val="475569"/>
                <w:sz w:val="18"/>
              </w:rPr>
              <w:t>风险</w:t>
            </w:r>
          </w:p>
        </w:tc>
      </w:tr>
      <w:tr>
        <w:tc>
          <w:tcPr>
            <w:tcW w:type="dxa" w:w="3720"/>
            <w:vAlign w:val="center"/>
          </w:tcPr>
          <w:p>
            <w:pPr>
              <w:spacing w:before="0" w:after="0"/>
            </w:pPr>
            <w:r/>
            <w:r>
              <w:rPr>
                <w:rFonts w:ascii="Calibri" w:hAnsi="Calibri" w:eastAsia="Arial Unicode MS"/>
                <w:b w:val="0"/>
                <w:color w:val="111827"/>
                <w:sz w:val="17"/>
              </w:rPr>
              <w:t>核电PPA确定性对AI数据中心扩容节奏的约束效应，2026-07-09</w:t>
            </w:r>
          </w:p>
        </w:tc>
        <w:tc>
          <w:tcPr>
            <w:tcW w:type="dxa" w:w="1560"/>
            <w:vAlign w:val="center"/>
          </w:tcPr>
          <w:p>
            <w:pPr>
              <w:spacing w:before="0" w:after="0"/>
            </w:pPr>
            <w:r/>
            <w:r>
              <w:rPr>
                <w:rFonts w:ascii="Calibri" w:hAnsi="Calibri" w:eastAsia="Arial Unicode MS"/>
                <w:b w:val="0"/>
                <w:color w:val="111827"/>
                <w:sz w:val="16"/>
              </w:rPr>
              <w:t>未识别</w:t>
            </w:r>
          </w:p>
        </w:tc>
        <w:tc>
          <w:tcPr>
            <w:tcW w:type="dxa" w:w="1680"/>
            <w:vAlign w:val="center"/>
          </w:tcPr>
          <w:p>
            <w:pPr>
              <w:spacing w:before="0" w:after="0"/>
            </w:pPr>
            <w:r/>
            <w:r>
              <w:rPr>
                <w:rFonts w:ascii="Calibri" w:hAnsi="Calibri" w:eastAsia="Arial Unicode MS"/>
                <w:b w:val="0"/>
                <w:color w:val="111827"/>
                <w:sz w:val="16"/>
              </w:rPr>
              <w:t>AI 基础设施</w:t>
            </w:r>
          </w:p>
        </w:tc>
        <w:tc>
          <w:tcPr>
            <w:tcW w:type="dxa" w:w="900"/>
            <w:vAlign w:val="center"/>
          </w:tcPr>
          <w:p>
            <w:pPr>
              <w:spacing w:before="0" w:after="0"/>
              <w:jc w:val="center"/>
            </w:pPr>
            <w:r/>
            <w:r>
              <w:rPr>
                <w:rFonts w:ascii="Calibri" w:hAnsi="Calibri" w:eastAsia="Arial Unicode MS"/>
                <w:b/>
                <w:color w:val="111827"/>
                <w:sz w:val="17"/>
              </w:rPr>
              <w:t>56.4</w:t>
            </w:r>
          </w:p>
        </w:tc>
        <w:tc>
          <w:tcPr>
            <w:tcW w:type="dxa" w:w="1500"/>
            <w:vAlign w:val="center"/>
          </w:tcPr>
          <w:p>
            <w:pPr>
              <w:spacing w:before="0" w:after="0"/>
              <w:jc w:val="center"/>
            </w:pPr>
            <w:r/>
            <w:r>
              <w:rPr>
                <w:rFonts w:ascii="Calibri" w:hAnsi="Calibri" w:eastAsia="Arial Unicode MS"/>
                <w:b w:val="0"/>
                <w:color w:val="111827"/>
                <w:sz w:val="16"/>
              </w:rPr>
              <w:t>风险 3</w:t>
            </w:r>
          </w:p>
        </w:tc>
      </w:tr>
      <w:tr>
        <w:tc>
          <w:tcPr>
            <w:tcW w:type="dxa" w:w="3720"/>
            <w:vAlign w:val="center"/>
          </w:tcPr>
          <w:p>
            <w:pPr>
              <w:spacing w:before="0" w:after="0"/>
            </w:pPr>
            <w:r/>
            <w:r>
              <w:rPr>
                <w:rFonts w:ascii="Calibri" w:hAnsi="Calibri" w:eastAsia="Arial Unicode MS"/>
                <w:b w:val="0"/>
                <w:color w:val="111827"/>
                <w:sz w:val="17"/>
              </w:rPr>
              <w:t>GPU/HBM/先进封装交付节奏与核电可交付电力窗口的匹配度，2026-07-09</w:t>
            </w:r>
          </w:p>
        </w:tc>
        <w:tc>
          <w:tcPr>
            <w:tcW w:type="dxa" w:w="1560"/>
            <w:vAlign w:val="center"/>
          </w:tcPr>
          <w:p>
            <w:pPr>
              <w:spacing w:before="0" w:after="0"/>
            </w:pPr>
            <w:r/>
            <w:r>
              <w:rPr>
                <w:rFonts w:ascii="Calibri" w:hAnsi="Calibri" w:eastAsia="Arial Unicode MS"/>
                <w:b w:val="0"/>
                <w:color w:val="111827"/>
                <w:sz w:val="16"/>
              </w:rPr>
              <w:t>未识别</w:t>
            </w:r>
          </w:p>
        </w:tc>
        <w:tc>
          <w:tcPr>
            <w:tcW w:type="dxa" w:w="1680"/>
            <w:vAlign w:val="center"/>
          </w:tcPr>
          <w:p>
            <w:pPr>
              <w:spacing w:before="0" w:after="0"/>
            </w:pPr>
            <w:r/>
            <w:r>
              <w:rPr>
                <w:rFonts w:ascii="Calibri" w:hAnsi="Calibri" w:eastAsia="Arial Unicode MS"/>
                <w:b w:val="0"/>
                <w:color w:val="111827"/>
                <w:sz w:val="16"/>
              </w:rPr>
              <w:t>AI 基础设施</w:t>
            </w:r>
          </w:p>
        </w:tc>
        <w:tc>
          <w:tcPr>
            <w:tcW w:type="dxa" w:w="900"/>
            <w:vAlign w:val="center"/>
          </w:tcPr>
          <w:p>
            <w:pPr>
              <w:spacing w:before="0" w:after="0"/>
              <w:jc w:val="center"/>
            </w:pPr>
            <w:r/>
            <w:r>
              <w:rPr>
                <w:rFonts w:ascii="Calibri" w:hAnsi="Calibri" w:eastAsia="Arial Unicode MS"/>
                <w:b/>
                <w:color w:val="111827"/>
                <w:sz w:val="17"/>
              </w:rPr>
              <w:t>54.9</w:t>
            </w:r>
          </w:p>
        </w:tc>
        <w:tc>
          <w:tcPr>
            <w:tcW w:type="dxa" w:w="1500"/>
            <w:vAlign w:val="center"/>
          </w:tcPr>
          <w:p>
            <w:pPr>
              <w:spacing w:before="0" w:after="0"/>
              <w:jc w:val="center"/>
            </w:pPr>
            <w:r/>
            <w:r>
              <w:rPr>
                <w:rFonts w:ascii="Calibri" w:hAnsi="Calibri" w:eastAsia="Arial Unicode MS"/>
                <w:b w:val="0"/>
                <w:color w:val="111827"/>
                <w:sz w:val="16"/>
              </w:rPr>
              <w:t>常规</w:t>
            </w:r>
          </w:p>
        </w:tc>
      </w:tr>
      <w:tr>
        <w:tc>
          <w:tcPr>
            <w:tcW w:type="dxa" w:w="3720"/>
            <w:vAlign w:val="center"/>
          </w:tcPr>
          <w:p>
            <w:pPr>
              <w:spacing w:before="0" w:after="0"/>
            </w:pPr>
            <w:r/>
            <w:r>
              <w:rPr>
                <w:rFonts w:ascii="Calibri" w:hAnsi="Calibri" w:eastAsia="Arial Unicode MS"/>
                <w:b w:val="0"/>
                <w:color w:val="111827"/>
                <w:sz w:val="17"/>
              </w:rPr>
              <w:t>AI电力瓶颈与核能公用事业估值重塑 - 2026-07-09</w:t>
            </w:r>
          </w:p>
        </w:tc>
        <w:tc>
          <w:tcPr>
            <w:tcW w:type="dxa" w:w="1560"/>
            <w:vAlign w:val="center"/>
          </w:tcPr>
          <w:p>
            <w:pPr>
              <w:spacing w:before="0" w:after="0"/>
            </w:pPr>
            <w:r/>
            <w:r>
              <w:rPr>
                <w:rFonts w:ascii="Calibri" w:hAnsi="Calibri" w:eastAsia="Arial Unicode MS"/>
                <w:b w:val="0"/>
                <w:color w:val="111827"/>
                <w:sz w:val="16"/>
              </w:rPr>
              <w:t>未识别</w:t>
            </w:r>
          </w:p>
        </w:tc>
        <w:tc>
          <w:tcPr>
            <w:tcW w:type="dxa" w:w="1680"/>
            <w:vAlign w:val="center"/>
          </w:tcPr>
          <w:p>
            <w:pPr>
              <w:spacing w:before="0" w:after="0"/>
            </w:pPr>
            <w:r/>
            <w:r>
              <w:rPr>
                <w:rFonts w:ascii="Calibri" w:hAnsi="Calibri" w:eastAsia="Arial Unicode MS"/>
                <w:b w:val="0"/>
                <w:color w:val="111827"/>
                <w:sz w:val="16"/>
              </w:rPr>
              <w:t>AI 基础设施</w:t>
            </w:r>
          </w:p>
        </w:tc>
        <w:tc>
          <w:tcPr>
            <w:tcW w:type="dxa" w:w="900"/>
            <w:vAlign w:val="center"/>
          </w:tcPr>
          <w:p>
            <w:pPr>
              <w:spacing w:before="0" w:after="0"/>
              <w:jc w:val="center"/>
            </w:pPr>
            <w:r/>
            <w:r>
              <w:rPr>
                <w:rFonts w:ascii="Calibri" w:hAnsi="Calibri" w:eastAsia="Arial Unicode MS"/>
                <w:b/>
                <w:color w:val="111827"/>
                <w:sz w:val="17"/>
              </w:rPr>
              <w:t>54.5</w:t>
            </w:r>
          </w:p>
        </w:tc>
        <w:tc>
          <w:tcPr>
            <w:tcW w:type="dxa" w:w="1500"/>
            <w:vAlign w:val="center"/>
          </w:tcPr>
          <w:p>
            <w:pPr>
              <w:spacing w:before="0" w:after="0"/>
              <w:jc w:val="center"/>
            </w:pPr>
            <w:r/>
            <w:r>
              <w:rPr>
                <w:rFonts w:ascii="Calibri" w:hAnsi="Calibri" w:eastAsia="Arial Unicode MS"/>
                <w:b w:val="0"/>
                <w:color w:val="111827"/>
                <w:sz w:val="16"/>
              </w:rPr>
              <w:t>风险 1</w:t>
            </w:r>
          </w:p>
        </w:tc>
      </w:tr>
      <w:tr>
        <w:tc>
          <w:tcPr>
            <w:tcW w:type="dxa" w:w="3720"/>
            <w:vAlign w:val="center"/>
          </w:tcPr>
          <w:p>
            <w:pPr>
              <w:spacing w:before="0" w:after="0"/>
            </w:pPr>
            <w:r/>
            <w:r>
              <w:rPr>
                <w:rFonts w:ascii="Calibri" w:hAnsi="Calibri" w:eastAsia="Arial Unicode MS"/>
                <w:b w:val="0"/>
                <w:color w:val="111827"/>
                <w:sz w:val="17"/>
              </w:rPr>
              <w:t>核电PPA溢价向公用事业盈利模型的逐合同映射</w:t>
            </w:r>
          </w:p>
        </w:tc>
        <w:tc>
          <w:tcPr>
            <w:tcW w:type="dxa" w:w="1560"/>
            <w:vAlign w:val="center"/>
          </w:tcPr>
          <w:p>
            <w:pPr>
              <w:spacing w:before="0" w:after="0"/>
            </w:pPr>
            <w:r/>
            <w:r>
              <w:rPr>
                <w:rFonts w:ascii="Calibri" w:hAnsi="Calibri" w:eastAsia="Arial Unicode MS"/>
                <w:b w:val="0"/>
                <w:color w:val="111827"/>
                <w:sz w:val="16"/>
              </w:rPr>
              <w:t>未识别</w:t>
            </w:r>
          </w:p>
        </w:tc>
        <w:tc>
          <w:tcPr>
            <w:tcW w:type="dxa" w:w="1680"/>
            <w:vAlign w:val="center"/>
          </w:tcPr>
          <w:p>
            <w:pPr>
              <w:spacing w:before="0" w:after="0"/>
            </w:pPr>
            <w:r/>
            <w:r>
              <w:rPr>
                <w:rFonts w:ascii="Calibri" w:hAnsi="Calibri" w:eastAsia="Arial Unicode MS"/>
                <w:b w:val="0"/>
                <w:color w:val="111827"/>
                <w:sz w:val="16"/>
              </w:rPr>
              <w:t>电力与电网</w:t>
            </w:r>
          </w:p>
        </w:tc>
        <w:tc>
          <w:tcPr>
            <w:tcW w:type="dxa" w:w="900"/>
            <w:vAlign w:val="center"/>
          </w:tcPr>
          <w:p>
            <w:pPr>
              <w:spacing w:before="0" w:after="0"/>
              <w:jc w:val="center"/>
            </w:pPr>
            <w:r/>
            <w:r>
              <w:rPr>
                <w:rFonts w:ascii="Calibri" w:hAnsi="Calibri" w:eastAsia="Arial Unicode MS"/>
                <w:b/>
                <w:color w:val="111827"/>
                <w:sz w:val="17"/>
              </w:rPr>
              <w:t>50.0</w:t>
            </w:r>
          </w:p>
        </w:tc>
        <w:tc>
          <w:tcPr>
            <w:tcW w:type="dxa" w:w="1500"/>
            <w:vAlign w:val="center"/>
          </w:tcPr>
          <w:p>
            <w:pPr>
              <w:spacing w:before="0" w:after="0"/>
              <w:jc w:val="center"/>
            </w:pPr>
            <w:r/>
            <w:r>
              <w:rPr>
                <w:rFonts w:ascii="Calibri" w:hAnsi="Calibri" w:eastAsia="Arial Unicode MS"/>
                <w:b w:val="0"/>
                <w:color w:val="111827"/>
                <w:sz w:val="16"/>
              </w:rPr>
              <w:t>风险 1</w:t>
            </w:r>
          </w:p>
        </w:tc>
      </w:tr>
      <w:tr>
        <w:tc>
          <w:tcPr>
            <w:tcW w:type="dxa" w:w="3720"/>
            <w:vAlign w:val="center"/>
          </w:tcPr>
          <w:p>
            <w:pPr>
              <w:spacing w:before="0" w:after="0"/>
            </w:pPr>
            <w:r/>
            <w:r>
              <w:rPr>
                <w:rFonts w:ascii="Calibri" w:hAnsi="Calibri" w:eastAsia="Arial Unicode MS"/>
                <w:b w:val="0"/>
                <w:color w:val="111827"/>
                <w:sz w:val="17"/>
              </w:rPr>
              <w:t>A股电网设备与Hi-B硅钢出海链：地缘贸易壁垒下的毛利率重估</w:t>
            </w:r>
          </w:p>
        </w:tc>
        <w:tc>
          <w:tcPr>
            <w:tcW w:type="dxa" w:w="1560"/>
            <w:vAlign w:val="center"/>
          </w:tcPr>
          <w:p>
            <w:pPr>
              <w:spacing w:before="0" w:after="0"/>
            </w:pPr>
            <w:r/>
            <w:r>
              <w:rPr>
                <w:rFonts w:ascii="Calibri" w:hAnsi="Calibri" w:eastAsia="Arial Unicode MS"/>
                <w:b w:val="0"/>
                <w:color w:val="111827"/>
                <w:sz w:val="16"/>
              </w:rPr>
              <w:t>未识别</w:t>
            </w:r>
          </w:p>
        </w:tc>
        <w:tc>
          <w:tcPr>
            <w:tcW w:type="dxa" w:w="1680"/>
            <w:vAlign w:val="center"/>
          </w:tcPr>
          <w:p>
            <w:pPr>
              <w:spacing w:before="0" w:after="0"/>
            </w:pPr>
            <w:r/>
            <w:r>
              <w:rPr>
                <w:rFonts w:ascii="Calibri" w:hAnsi="Calibri" w:eastAsia="Arial Unicode MS"/>
                <w:b w:val="0"/>
                <w:color w:val="111827"/>
                <w:sz w:val="16"/>
              </w:rPr>
              <w:t>宏观通胀传导</w:t>
            </w:r>
          </w:p>
        </w:tc>
        <w:tc>
          <w:tcPr>
            <w:tcW w:type="dxa" w:w="900"/>
            <w:vAlign w:val="center"/>
          </w:tcPr>
          <w:p>
            <w:pPr>
              <w:spacing w:before="0" w:after="0"/>
              <w:jc w:val="center"/>
            </w:pPr>
            <w:r/>
            <w:r>
              <w:rPr>
                <w:rFonts w:ascii="Calibri" w:hAnsi="Calibri" w:eastAsia="Arial Unicode MS"/>
                <w:b/>
                <w:color w:val="111827"/>
                <w:sz w:val="17"/>
              </w:rPr>
              <w:t>50.0</w:t>
            </w:r>
          </w:p>
        </w:tc>
        <w:tc>
          <w:tcPr>
            <w:tcW w:type="dxa" w:w="1500"/>
            <w:vAlign w:val="center"/>
          </w:tcPr>
          <w:p>
            <w:pPr>
              <w:spacing w:before="0" w:after="0"/>
              <w:jc w:val="center"/>
            </w:pPr>
            <w:r/>
            <w:r>
              <w:rPr>
                <w:rFonts w:ascii="Calibri" w:hAnsi="Calibri" w:eastAsia="Arial Unicode MS"/>
                <w:b w:val="0"/>
                <w:color w:val="111827"/>
                <w:sz w:val="16"/>
              </w:rPr>
              <w:t>风险 1</w:t>
            </w:r>
          </w:p>
        </w:tc>
      </w:tr>
      <w:tr>
        <w:tc>
          <w:tcPr>
            <w:tcW w:type="dxa" w:w="3720"/>
            <w:vAlign w:val="center"/>
          </w:tcPr>
          <w:p>
            <w:pPr>
              <w:spacing w:before="0" w:after="0"/>
            </w:pPr>
            <w:r/>
            <w:r>
              <w:rPr>
                <w:rFonts w:ascii="Calibri" w:hAnsi="Calibri" w:eastAsia="Arial Unicode MS"/>
                <w:b w:val="0"/>
                <w:color w:val="111827"/>
                <w:sz w:val="17"/>
              </w:rPr>
              <w:t>陆地电网并网瓶颈的解耦路径与轨道AI算力的终值重估</w:t>
            </w:r>
          </w:p>
        </w:tc>
        <w:tc>
          <w:tcPr>
            <w:tcW w:type="dxa" w:w="1560"/>
            <w:vAlign w:val="center"/>
          </w:tcPr>
          <w:p>
            <w:pPr>
              <w:spacing w:before="0" w:after="0"/>
            </w:pPr>
            <w:r/>
            <w:r>
              <w:rPr>
                <w:rFonts w:ascii="Calibri" w:hAnsi="Calibri" w:eastAsia="Arial Unicode MS"/>
                <w:b w:val="0"/>
                <w:color w:val="111827"/>
                <w:sz w:val="16"/>
              </w:rPr>
              <w:t>未识别</w:t>
            </w:r>
          </w:p>
        </w:tc>
        <w:tc>
          <w:tcPr>
            <w:tcW w:type="dxa" w:w="1680"/>
            <w:vAlign w:val="center"/>
          </w:tcPr>
          <w:p>
            <w:pPr>
              <w:spacing w:before="0" w:after="0"/>
            </w:pPr>
            <w:r/>
            <w:r>
              <w:rPr>
                <w:rFonts w:ascii="Calibri" w:hAnsi="Calibri" w:eastAsia="Arial Unicode MS"/>
                <w:b w:val="0"/>
                <w:color w:val="111827"/>
                <w:sz w:val="16"/>
              </w:rPr>
              <w:t>AI 基础设施</w:t>
            </w:r>
          </w:p>
        </w:tc>
        <w:tc>
          <w:tcPr>
            <w:tcW w:type="dxa" w:w="900"/>
            <w:vAlign w:val="center"/>
          </w:tcPr>
          <w:p>
            <w:pPr>
              <w:spacing w:before="0" w:after="0"/>
              <w:jc w:val="center"/>
            </w:pPr>
            <w:r/>
            <w:r>
              <w:rPr>
                <w:rFonts w:ascii="Calibri" w:hAnsi="Calibri" w:eastAsia="Arial Unicode MS"/>
                <w:b/>
                <w:color w:val="111827"/>
                <w:sz w:val="17"/>
              </w:rPr>
              <w:t>48.1</w:t>
            </w:r>
          </w:p>
        </w:tc>
        <w:tc>
          <w:tcPr>
            <w:tcW w:type="dxa" w:w="1500"/>
            <w:vAlign w:val="center"/>
          </w:tcPr>
          <w:p>
            <w:pPr>
              <w:spacing w:before="0" w:after="0"/>
              <w:jc w:val="center"/>
            </w:pPr>
            <w:r/>
            <w:r>
              <w:rPr>
                <w:rFonts w:ascii="Calibri" w:hAnsi="Calibri" w:eastAsia="Arial Unicode MS"/>
                <w:b w:val="0"/>
                <w:color w:val="111827"/>
                <w:sz w:val="16"/>
              </w:rPr>
              <w:t>风险 2</w:t>
            </w:r>
          </w:p>
        </w:tc>
      </w:tr>
      <w:tr>
        <w:tc>
          <w:tcPr>
            <w:tcW w:type="dxa" w:w="3720"/>
            <w:vAlign w:val="center"/>
          </w:tcPr>
          <w:p>
            <w:pPr>
              <w:spacing w:before="0" w:after="0"/>
            </w:pPr>
            <w:r/>
            <w:r>
              <w:rPr>
                <w:rFonts w:ascii="Calibri" w:hAnsi="Calibri" w:eastAsia="Arial Unicode MS"/>
                <w:b w:val="0"/>
                <w:color w:val="111827"/>
                <w:sz w:val="17"/>
              </w:rPr>
              <w:t>大模型备案与商业化准入中推理端国产算力占比的合规监管分析报告</w:t>
            </w:r>
          </w:p>
        </w:tc>
        <w:tc>
          <w:tcPr>
            <w:tcW w:type="dxa" w:w="1560"/>
            <w:vAlign w:val="center"/>
          </w:tcPr>
          <w:p>
            <w:pPr>
              <w:spacing w:before="0" w:after="0"/>
            </w:pPr>
            <w:r/>
            <w:r>
              <w:rPr>
                <w:rFonts w:ascii="Calibri" w:hAnsi="Calibri" w:eastAsia="Arial Unicode MS"/>
                <w:b w:val="0"/>
                <w:color w:val="111827"/>
                <w:sz w:val="16"/>
              </w:rPr>
              <w:t>政策分析师</w:t>
            </w:r>
          </w:p>
        </w:tc>
        <w:tc>
          <w:tcPr>
            <w:tcW w:type="dxa" w:w="1680"/>
            <w:vAlign w:val="center"/>
          </w:tcPr>
          <w:p>
            <w:pPr>
              <w:spacing w:before="0" w:after="0"/>
            </w:pPr>
            <w:r/>
            <w:r>
              <w:rPr>
                <w:rFonts w:ascii="Calibri" w:hAnsi="Calibri" w:eastAsia="Arial Unicode MS"/>
                <w:b w:val="0"/>
                <w:color w:val="111827"/>
                <w:sz w:val="16"/>
              </w:rPr>
              <w:t>AI 基础设施</w:t>
            </w:r>
          </w:p>
        </w:tc>
        <w:tc>
          <w:tcPr>
            <w:tcW w:type="dxa" w:w="900"/>
            <w:vAlign w:val="center"/>
          </w:tcPr>
          <w:p>
            <w:pPr>
              <w:spacing w:before="0" w:after="0"/>
              <w:jc w:val="center"/>
            </w:pPr>
            <w:r/>
            <w:r>
              <w:rPr>
                <w:rFonts w:ascii="Calibri" w:hAnsi="Calibri" w:eastAsia="Arial Unicode MS"/>
                <w:b/>
                <w:color w:val="111827"/>
                <w:sz w:val="17"/>
              </w:rPr>
              <w:t>48.1</w:t>
            </w:r>
          </w:p>
        </w:tc>
        <w:tc>
          <w:tcPr>
            <w:tcW w:type="dxa" w:w="1500"/>
            <w:vAlign w:val="center"/>
          </w:tcPr>
          <w:p>
            <w:pPr>
              <w:spacing w:before="0" w:after="0"/>
              <w:jc w:val="center"/>
            </w:pPr>
            <w:r/>
            <w:r>
              <w:rPr>
                <w:rFonts w:ascii="Calibri" w:hAnsi="Calibri" w:eastAsia="Arial Unicode MS"/>
                <w:b w:val="0"/>
                <w:color w:val="111827"/>
                <w:sz w:val="16"/>
              </w:rPr>
              <w:t>风险 2</w:t>
            </w:r>
          </w:p>
        </w:tc>
      </w:tr>
      <w:tr>
        <w:tc>
          <w:tcPr>
            <w:tcW w:type="dxa" w:w="3720"/>
            <w:vAlign w:val="center"/>
          </w:tcPr>
          <w:p>
            <w:pPr>
              <w:spacing w:before="0" w:after="0"/>
            </w:pPr>
            <w:r/>
            <w:r>
              <w:rPr>
                <w:rFonts w:ascii="Calibri" w:hAnsi="Calibri" w:eastAsia="Arial Unicode MS"/>
                <w:b w:val="0"/>
                <w:color w:val="111827"/>
                <w:sz w:val="17"/>
              </w:rPr>
              <w:t>变压器交期物理约束与中国干变出海龙头Q3业绩可证伪性评估报告</w:t>
            </w:r>
          </w:p>
        </w:tc>
        <w:tc>
          <w:tcPr>
            <w:tcW w:type="dxa" w:w="1560"/>
            <w:vAlign w:val="center"/>
          </w:tcPr>
          <w:p>
            <w:pPr>
              <w:spacing w:before="0" w:after="0"/>
            </w:pPr>
            <w:r/>
            <w:r>
              <w:rPr>
                <w:rFonts w:ascii="Calibri" w:hAnsi="Calibri" w:eastAsia="Arial Unicode MS"/>
                <w:b w:val="0"/>
                <w:color w:val="111827"/>
                <w:sz w:val="16"/>
              </w:rPr>
              <w:t>工业制造分析师</w:t>
            </w:r>
          </w:p>
        </w:tc>
        <w:tc>
          <w:tcPr>
            <w:tcW w:type="dxa" w:w="1680"/>
            <w:vAlign w:val="center"/>
          </w:tcPr>
          <w:p>
            <w:pPr>
              <w:spacing w:before="0" w:after="0"/>
            </w:pPr>
            <w:r/>
            <w:r>
              <w:rPr>
                <w:rFonts w:ascii="Calibri" w:hAnsi="Calibri" w:eastAsia="Arial Unicode MS"/>
                <w:b w:val="0"/>
                <w:color w:val="111827"/>
                <w:sz w:val="16"/>
              </w:rPr>
              <w:t>工业供给瓶颈</w:t>
            </w:r>
          </w:p>
        </w:tc>
        <w:tc>
          <w:tcPr>
            <w:tcW w:type="dxa" w:w="900"/>
            <w:vAlign w:val="center"/>
          </w:tcPr>
          <w:p>
            <w:pPr>
              <w:spacing w:before="0" w:after="0"/>
              <w:jc w:val="center"/>
            </w:pPr>
            <w:r/>
            <w:r>
              <w:rPr>
                <w:rFonts w:ascii="Calibri" w:hAnsi="Calibri" w:eastAsia="Arial Unicode MS"/>
                <w:b/>
                <w:color w:val="111827"/>
                <w:sz w:val="17"/>
              </w:rPr>
              <w:t>47.8</w:t>
            </w:r>
          </w:p>
        </w:tc>
        <w:tc>
          <w:tcPr>
            <w:tcW w:type="dxa" w:w="1500"/>
            <w:vAlign w:val="center"/>
          </w:tcPr>
          <w:p>
            <w:pPr>
              <w:spacing w:before="0" w:after="0"/>
              <w:jc w:val="center"/>
            </w:pPr>
            <w:r/>
            <w:r>
              <w:rPr>
                <w:rFonts w:ascii="Calibri" w:hAnsi="Calibri" w:eastAsia="Arial Unicode MS"/>
                <w:b w:val="0"/>
                <w:color w:val="111827"/>
                <w:sz w:val="16"/>
              </w:rPr>
              <w:t>风险 1</w:t>
            </w:r>
          </w:p>
        </w:tc>
      </w:tr>
      <w:tr>
        <w:tc>
          <w:tcPr>
            <w:tcW w:type="dxa" w:w="3720"/>
            <w:vAlign w:val="center"/>
          </w:tcPr>
          <w:p>
            <w:pPr>
              <w:spacing w:before="0" w:after="0"/>
            </w:pPr>
            <w:r/>
            <w:r>
              <w:rPr>
                <w:rFonts w:ascii="Calibri" w:hAnsi="Calibri" w:eastAsia="Arial Unicode MS"/>
                <w:b w:val="0"/>
                <w:color w:val="111827"/>
                <w:sz w:val="17"/>
              </w:rPr>
              <w:t>2026-07-09 - 中韩半导体产能约束与 2027 供需拐点</w:t>
            </w:r>
          </w:p>
        </w:tc>
        <w:tc>
          <w:tcPr>
            <w:tcW w:type="dxa" w:w="1560"/>
            <w:vAlign w:val="center"/>
          </w:tcPr>
          <w:p>
            <w:pPr>
              <w:spacing w:before="0" w:after="0"/>
            </w:pPr>
            <w:r/>
            <w:r>
              <w:rPr>
                <w:rFonts w:ascii="Calibri" w:hAnsi="Calibri" w:eastAsia="Arial Unicode MS"/>
                <w:b w:val="0"/>
                <w:color w:val="111827"/>
                <w:sz w:val="16"/>
              </w:rPr>
              <w:t>未识别</w:t>
            </w:r>
          </w:p>
        </w:tc>
        <w:tc>
          <w:tcPr>
            <w:tcW w:type="dxa" w:w="1680"/>
            <w:vAlign w:val="center"/>
          </w:tcPr>
          <w:p>
            <w:pPr>
              <w:spacing w:before="0" w:after="0"/>
            </w:pPr>
            <w:r/>
            <w:r>
              <w:rPr>
                <w:rFonts w:ascii="Calibri" w:hAnsi="Calibri" w:eastAsia="Arial Unicode MS"/>
                <w:b w:val="0"/>
                <w:color w:val="111827"/>
                <w:sz w:val="16"/>
              </w:rPr>
              <w:t>宏观通胀传导</w:t>
            </w:r>
          </w:p>
        </w:tc>
        <w:tc>
          <w:tcPr>
            <w:tcW w:type="dxa" w:w="900"/>
            <w:vAlign w:val="center"/>
          </w:tcPr>
          <w:p>
            <w:pPr>
              <w:spacing w:before="0" w:after="0"/>
              <w:jc w:val="center"/>
            </w:pPr>
            <w:r/>
            <w:r>
              <w:rPr>
                <w:rFonts w:ascii="Calibri" w:hAnsi="Calibri" w:eastAsia="Arial Unicode MS"/>
                <w:b/>
                <w:color w:val="111827"/>
                <w:sz w:val="17"/>
              </w:rPr>
              <w:t>45.2</w:t>
            </w:r>
          </w:p>
        </w:tc>
        <w:tc>
          <w:tcPr>
            <w:tcW w:type="dxa" w:w="1500"/>
            <w:vAlign w:val="center"/>
          </w:tcPr>
          <w:p>
            <w:pPr>
              <w:spacing w:before="0" w:after="0"/>
              <w:jc w:val="center"/>
            </w:pPr>
            <w:r/>
            <w:r>
              <w:rPr>
                <w:rFonts w:ascii="Calibri" w:hAnsi="Calibri" w:eastAsia="Arial Unicode MS"/>
                <w:b w:val="0"/>
                <w:color w:val="111827"/>
                <w:sz w:val="16"/>
              </w:rPr>
              <w:t>风险 1</w:t>
            </w:r>
          </w:p>
        </w:tc>
      </w:tr>
      <w:tr>
        <w:tc>
          <w:tcPr>
            <w:tcW w:type="dxa" w:w="3720"/>
            <w:vAlign w:val="center"/>
          </w:tcPr>
          <w:p>
            <w:pPr>
              <w:spacing w:before="0" w:after="0"/>
            </w:pPr>
            <w:r/>
            <w:r>
              <w:rPr>
                <w:rFonts w:ascii="Calibri" w:hAnsi="Calibri" w:eastAsia="Arial Unicode MS"/>
                <w:b w:val="0"/>
                <w:color w:val="111827"/>
                <w:sz w:val="17"/>
              </w:rPr>
              <w:t>对A股去杠杆期算力基建持仓规则进行组合风险与极端流动性压力测试</w:t>
            </w:r>
          </w:p>
        </w:tc>
        <w:tc>
          <w:tcPr>
            <w:tcW w:type="dxa" w:w="1560"/>
            <w:vAlign w:val="center"/>
          </w:tcPr>
          <w:p>
            <w:pPr>
              <w:spacing w:before="0" w:after="0"/>
            </w:pPr>
            <w:r/>
            <w:r>
              <w:rPr>
                <w:rFonts w:ascii="Calibri" w:hAnsi="Calibri" w:eastAsia="Arial Unicode MS"/>
                <w:b w:val="0"/>
                <w:color w:val="111827"/>
                <w:sz w:val="16"/>
              </w:rPr>
              <w:t>未识别</w:t>
            </w:r>
          </w:p>
        </w:tc>
        <w:tc>
          <w:tcPr>
            <w:tcW w:type="dxa" w:w="1680"/>
            <w:vAlign w:val="center"/>
          </w:tcPr>
          <w:p>
            <w:pPr>
              <w:spacing w:before="0" w:after="0"/>
            </w:pPr>
            <w:r/>
            <w:r>
              <w:rPr>
                <w:rFonts w:ascii="Calibri" w:hAnsi="Calibri" w:eastAsia="Arial Unicode MS"/>
                <w:b w:val="0"/>
                <w:color w:val="111827"/>
                <w:sz w:val="16"/>
              </w:rPr>
              <w:t>AI 基础设施</w:t>
            </w:r>
          </w:p>
        </w:tc>
        <w:tc>
          <w:tcPr>
            <w:tcW w:type="dxa" w:w="900"/>
            <w:vAlign w:val="center"/>
          </w:tcPr>
          <w:p>
            <w:pPr>
              <w:spacing w:before="0" w:after="0"/>
              <w:jc w:val="center"/>
            </w:pPr>
            <w:r/>
            <w:r>
              <w:rPr>
                <w:rFonts w:ascii="Calibri" w:hAnsi="Calibri" w:eastAsia="Arial Unicode MS"/>
                <w:b/>
                <w:color w:val="111827"/>
                <w:sz w:val="17"/>
              </w:rPr>
              <w:t>45.0</w:t>
            </w:r>
          </w:p>
        </w:tc>
        <w:tc>
          <w:tcPr>
            <w:tcW w:type="dxa" w:w="1500"/>
            <w:vAlign w:val="center"/>
          </w:tcPr>
          <w:p>
            <w:pPr>
              <w:spacing w:before="0" w:after="0"/>
              <w:jc w:val="center"/>
            </w:pPr>
            <w:r/>
            <w:r>
              <w:rPr>
                <w:rFonts w:ascii="Calibri" w:hAnsi="Calibri" w:eastAsia="Arial Unicode MS"/>
                <w:b w:val="0"/>
                <w:color w:val="111827"/>
                <w:sz w:val="16"/>
              </w:rPr>
              <w:t>风险 2</w:t>
            </w:r>
          </w:p>
        </w:tc>
      </w:tr>
      <w:tr>
        <w:tc>
          <w:tcPr>
            <w:tcW w:type="dxa" w:w="3720"/>
            <w:vAlign w:val="center"/>
          </w:tcPr>
          <w:p>
            <w:pPr>
              <w:spacing w:before="0" w:after="0"/>
            </w:pPr>
            <w:r/>
            <w:r>
              <w:rPr>
                <w:rFonts w:ascii="Calibri" w:hAnsi="Calibri" w:eastAsia="Arial Unicode MS"/>
                <w:b w:val="0"/>
                <w:color w:val="111827"/>
                <w:sz w:val="17"/>
              </w:rPr>
              <w:t>双重利率上行冲击下的 KOSPI 多头仓位压力测试报告</w:t>
            </w:r>
          </w:p>
        </w:tc>
        <w:tc>
          <w:tcPr>
            <w:tcW w:type="dxa" w:w="1560"/>
            <w:vAlign w:val="center"/>
          </w:tcPr>
          <w:p>
            <w:pPr>
              <w:spacing w:before="0" w:after="0"/>
            </w:pPr>
            <w:r/>
            <w:r>
              <w:rPr>
                <w:rFonts w:ascii="Calibri" w:hAnsi="Calibri" w:eastAsia="Arial Unicode MS"/>
                <w:b w:val="0"/>
                <w:color w:val="111827"/>
                <w:sz w:val="16"/>
              </w:rPr>
              <w:t>首席风控官</w:t>
            </w:r>
          </w:p>
        </w:tc>
        <w:tc>
          <w:tcPr>
            <w:tcW w:type="dxa" w:w="1680"/>
            <w:vAlign w:val="center"/>
          </w:tcPr>
          <w:p>
            <w:pPr>
              <w:spacing w:before="0" w:after="0"/>
            </w:pPr>
            <w:r/>
            <w:r>
              <w:rPr>
                <w:rFonts w:ascii="Calibri" w:hAnsi="Calibri" w:eastAsia="Arial Unicode MS"/>
                <w:b w:val="0"/>
                <w:color w:val="111827"/>
                <w:sz w:val="16"/>
              </w:rPr>
              <w:t>宏观通胀传导</w:t>
            </w:r>
          </w:p>
        </w:tc>
        <w:tc>
          <w:tcPr>
            <w:tcW w:type="dxa" w:w="900"/>
            <w:vAlign w:val="center"/>
          </w:tcPr>
          <w:p>
            <w:pPr>
              <w:spacing w:before="0" w:after="0"/>
              <w:jc w:val="center"/>
            </w:pPr>
            <w:r/>
            <w:r>
              <w:rPr>
                <w:rFonts w:ascii="Calibri" w:hAnsi="Calibri" w:eastAsia="Arial Unicode MS"/>
                <w:b/>
                <w:color w:val="111827"/>
                <w:sz w:val="17"/>
              </w:rPr>
              <w:t>44.9</w:t>
            </w:r>
          </w:p>
        </w:tc>
        <w:tc>
          <w:tcPr>
            <w:tcW w:type="dxa" w:w="1500"/>
            <w:vAlign w:val="center"/>
          </w:tcPr>
          <w:p>
            <w:pPr>
              <w:spacing w:before="0" w:after="0"/>
              <w:jc w:val="center"/>
            </w:pPr>
            <w:r/>
            <w:r>
              <w:rPr>
                <w:rFonts w:ascii="Calibri" w:hAnsi="Calibri" w:eastAsia="Arial Unicode MS"/>
                <w:b w:val="0"/>
                <w:color w:val="111827"/>
                <w:sz w:val="16"/>
              </w:rPr>
              <w:t>风险 3</w:t>
            </w:r>
          </w:p>
        </w:tc>
      </w:tr>
      <w:tr>
        <w:tc>
          <w:tcPr>
            <w:tcW w:type="dxa" w:w="3720"/>
            <w:vAlign w:val="center"/>
          </w:tcPr>
          <w:p>
            <w:pPr>
              <w:spacing w:before="0" w:after="0"/>
            </w:pPr>
            <w:r/>
            <w:r>
              <w:rPr>
                <w:rFonts w:ascii="Calibri" w:hAnsi="Calibri" w:eastAsia="Arial Unicode MS"/>
                <w:b w:val="0"/>
                <w:color w:val="111827"/>
                <w:sz w:val="17"/>
              </w:rPr>
              <w:t>轨道AI计算相对地面AI数据中心：TCO与可扩展性压力测试</w:t>
            </w:r>
          </w:p>
        </w:tc>
        <w:tc>
          <w:tcPr>
            <w:tcW w:type="dxa" w:w="1560"/>
            <w:vAlign w:val="center"/>
          </w:tcPr>
          <w:p>
            <w:pPr>
              <w:spacing w:before="0" w:after="0"/>
            </w:pPr>
            <w:r/>
            <w:r>
              <w:rPr>
                <w:rFonts w:ascii="Calibri" w:hAnsi="Calibri" w:eastAsia="Arial Unicode MS"/>
                <w:b w:val="0"/>
                <w:color w:val="111827"/>
                <w:sz w:val="16"/>
              </w:rPr>
              <w:t>未识别</w:t>
            </w:r>
          </w:p>
        </w:tc>
        <w:tc>
          <w:tcPr>
            <w:tcW w:type="dxa" w:w="1680"/>
            <w:vAlign w:val="center"/>
          </w:tcPr>
          <w:p>
            <w:pPr>
              <w:spacing w:before="0" w:after="0"/>
            </w:pPr>
            <w:r/>
            <w:r>
              <w:rPr>
                <w:rFonts w:ascii="Calibri" w:hAnsi="Calibri" w:eastAsia="Arial Unicode MS"/>
                <w:b w:val="0"/>
                <w:color w:val="111827"/>
                <w:sz w:val="16"/>
              </w:rPr>
              <w:t>AI 基础设施</w:t>
            </w:r>
          </w:p>
        </w:tc>
        <w:tc>
          <w:tcPr>
            <w:tcW w:type="dxa" w:w="900"/>
            <w:vAlign w:val="center"/>
          </w:tcPr>
          <w:p>
            <w:pPr>
              <w:spacing w:before="0" w:after="0"/>
              <w:jc w:val="center"/>
            </w:pPr>
            <w:r/>
            <w:r>
              <w:rPr>
                <w:rFonts w:ascii="Calibri" w:hAnsi="Calibri" w:eastAsia="Arial Unicode MS"/>
                <w:b/>
                <w:color w:val="111827"/>
                <w:sz w:val="17"/>
              </w:rPr>
              <w:t>44.8</w:t>
            </w:r>
          </w:p>
        </w:tc>
        <w:tc>
          <w:tcPr>
            <w:tcW w:type="dxa" w:w="1500"/>
            <w:vAlign w:val="center"/>
          </w:tcPr>
          <w:p>
            <w:pPr>
              <w:spacing w:before="0" w:after="0"/>
              <w:jc w:val="center"/>
            </w:pPr>
            <w:r/>
            <w:r>
              <w:rPr>
                <w:rFonts w:ascii="Calibri" w:hAnsi="Calibri" w:eastAsia="Arial Unicode MS"/>
                <w:b w:val="0"/>
                <w:color w:val="111827"/>
                <w:sz w:val="16"/>
              </w:rPr>
              <w:t>风险 2</w:t>
            </w:r>
          </w:p>
        </w:tc>
      </w:tr>
      <w:tr>
        <w:tc>
          <w:tcPr>
            <w:tcW w:type="dxa" w:w="3720"/>
            <w:vAlign w:val="center"/>
          </w:tcPr>
          <w:p>
            <w:pPr>
              <w:spacing w:before="0" w:after="0"/>
            </w:pPr>
            <w:r/>
            <w:r>
              <w:rPr>
                <w:rFonts w:ascii="Calibri" w:hAnsi="Calibri" w:eastAsia="Arial Unicode MS"/>
                <w:b w:val="0"/>
                <w:color w:val="111827"/>
                <w:sz w:val="17"/>
              </w:rPr>
              <w:t>布伦特原油突破 80 美元/桶的地缘溢价对数据中心及云厂商的影响分析</w:t>
            </w:r>
          </w:p>
        </w:tc>
        <w:tc>
          <w:tcPr>
            <w:tcW w:type="dxa" w:w="1560"/>
            <w:vAlign w:val="center"/>
          </w:tcPr>
          <w:p>
            <w:pPr>
              <w:spacing w:before="0" w:after="0"/>
            </w:pPr>
            <w:r/>
            <w:r>
              <w:rPr>
                <w:rFonts w:ascii="Calibri" w:hAnsi="Calibri" w:eastAsia="Arial Unicode MS"/>
                <w:b w:val="0"/>
                <w:color w:val="111827"/>
                <w:sz w:val="16"/>
              </w:rPr>
              <w:t>能源行业分析师</w:t>
            </w:r>
          </w:p>
        </w:tc>
        <w:tc>
          <w:tcPr>
            <w:tcW w:type="dxa" w:w="1680"/>
            <w:vAlign w:val="center"/>
          </w:tcPr>
          <w:p>
            <w:pPr>
              <w:spacing w:before="0" w:after="0"/>
            </w:pPr>
            <w:r/>
            <w:r>
              <w:rPr>
                <w:rFonts w:ascii="Calibri" w:hAnsi="Calibri" w:eastAsia="Arial Unicode MS"/>
                <w:b w:val="0"/>
                <w:color w:val="111827"/>
                <w:sz w:val="16"/>
              </w:rPr>
              <w:t>AI 基础设施</w:t>
            </w:r>
          </w:p>
        </w:tc>
        <w:tc>
          <w:tcPr>
            <w:tcW w:type="dxa" w:w="900"/>
            <w:vAlign w:val="center"/>
          </w:tcPr>
          <w:p>
            <w:pPr>
              <w:spacing w:before="0" w:after="0"/>
              <w:jc w:val="center"/>
            </w:pPr>
            <w:r/>
            <w:r>
              <w:rPr>
                <w:rFonts w:ascii="Calibri" w:hAnsi="Calibri" w:eastAsia="Arial Unicode MS"/>
                <w:b/>
                <w:color w:val="111827"/>
                <w:sz w:val="17"/>
              </w:rPr>
              <w:t>44.0</w:t>
            </w:r>
          </w:p>
        </w:tc>
        <w:tc>
          <w:tcPr>
            <w:tcW w:type="dxa" w:w="1500"/>
            <w:vAlign w:val="center"/>
          </w:tcPr>
          <w:p>
            <w:pPr>
              <w:spacing w:before="0" w:after="0"/>
              <w:jc w:val="center"/>
            </w:pPr>
            <w:r/>
            <w:r>
              <w:rPr>
                <w:rFonts w:ascii="Calibri" w:hAnsi="Calibri" w:eastAsia="Arial Unicode MS"/>
                <w:b w:val="0"/>
                <w:color w:val="111827"/>
                <w:sz w:val="16"/>
              </w:rPr>
              <w:t>风险 1</w:t>
            </w:r>
          </w:p>
        </w:tc>
      </w:tr>
      <w:tr>
        <w:tc>
          <w:tcPr>
            <w:tcW w:type="dxa" w:w="3720"/>
            <w:vAlign w:val="center"/>
          </w:tcPr>
          <w:p>
            <w:pPr>
              <w:spacing w:before="0" w:after="0"/>
            </w:pPr>
            <w:r/>
            <w:r>
              <w:rPr>
                <w:rFonts w:ascii="Calibri" w:hAnsi="Calibri" w:eastAsia="Arial Unicode MS"/>
                <w:b w:val="0"/>
                <w:color w:val="111827"/>
                <w:sz w:val="17"/>
              </w:rPr>
              <w:t>中国利率下行锚与能源通胀冲击的一致性检验 — 2026-07-09</w:t>
            </w:r>
          </w:p>
        </w:tc>
        <w:tc>
          <w:tcPr>
            <w:tcW w:type="dxa" w:w="1560"/>
            <w:vAlign w:val="center"/>
          </w:tcPr>
          <w:p>
            <w:pPr>
              <w:spacing w:before="0" w:after="0"/>
            </w:pPr>
            <w:r/>
            <w:r>
              <w:rPr>
                <w:rFonts w:ascii="Calibri" w:hAnsi="Calibri" w:eastAsia="Arial Unicode MS"/>
                <w:b w:val="0"/>
                <w:color w:val="111827"/>
                <w:sz w:val="16"/>
              </w:rPr>
              <w:t>未识别</w:t>
            </w:r>
          </w:p>
        </w:tc>
        <w:tc>
          <w:tcPr>
            <w:tcW w:type="dxa" w:w="1680"/>
            <w:vAlign w:val="center"/>
          </w:tcPr>
          <w:p>
            <w:pPr>
              <w:spacing w:before="0" w:after="0"/>
            </w:pPr>
            <w:r/>
            <w:r>
              <w:rPr>
                <w:rFonts w:ascii="Calibri" w:hAnsi="Calibri" w:eastAsia="Arial Unicode MS"/>
                <w:b w:val="0"/>
                <w:color w:val="111827"/>
                <w:sz w:val="16"/>
              </w:rPr>
              <w:t>宏观通胀传导</w:t>
            </w:r>
          </w:p>
        </w:tc>
        <w:tc>
          <w:tcPr>
            <w:tcW w:type="dxa" w:w="900"/>
            <w:vAlign w:val="center"/>
          </w:tcPr>
          <w:p>
            <w:pPr>
              <w:spacing w:before="0" w:after="0"/>
              <w:jc w:val="center"/>
            </w:pPr>
            <w:r/>
            <w:r>
              <w:rPr>
                <w:rFonts w:ascii="Calibri" w:hAnsi="Calibri" w:eastAsia="Arial Unicode MS"/>
                <w:b/>
                <w:color w:val="111827"/>
                <w:sz w:val="17"/>
              </w:rPr>
              <w:t>44.0</w:t>
            </w:r>
          </w:p>
        </w:tc>
        <w:tc>
          <w:tcPr>
            <w:tcW w:type="dxa" w:w="1500"/>
            <w:vAlign w:val="center"/>
          </w:tcPr>
          <w:p>
            <w:pPr>
              <w:spacing w:before="0" w:after="0"/>
              <w:jc w:val="center"/>
            </w:pPr>
            <w:r/>
            <w:r>
              <w:rPr>
                <w:rFonts w:ascii="Calibri" w:hAnsi="Calibri" w:eastAsia="Arial Unicode MS"/>
                <w:b w:val="0"/>
                <w:color w:val="111827"/>
                <w:sz w:val="16"/>
              </w:rPr>
              <w:t>风险 2</w:t>
            </w:r>
          </w:p>
        </w:tc>
      </w:tr>
      <w:tr>
        <w:tc>
          <w:tcPr>
            <w:tcW w:type="dxa" w:w="3720"/>
            <w:vAlign w:val="center"/>
          </w:tcPr>
          <w:p>
            <w:pPr>
              <w:spacing w:before="0" w:after="0"/>
            </w:pPr>
            <w:r/>
            <w:r>
              <w:rPr>
                <w:rFonts w:ascii="Calibri" w:hAnsi="Calibri" w:eastAsia="Arial Unicode MS"/>
                <w:b w:val="0"/>
                <w:color w:val="111827"/>
                <w:sz w:val="17"/>
              </w:rPr>
              <w:t>原油市场每日监测报告</w:t>
            </w:r>
          </w:p>
        </w:tc>
        <w:tc>
          <w:tcPr>
            <w:tcW w:type="dxa" w:w="1560"/>
            <w:vAlign w:val="center"/>
          </w:tcPr>
          <w:p>
            <w:pPr>
              <w:spacing w:before="0" w:after="0"/>
            </w:pPr>
            <w:r/>
            <w:r>
              <w:rPr>
                <w:rFonts w:ascii="Calibri" w:hAnsi="Calibri" w:eastAsia="Arial Unicode MS"/>
                <w:b w:val="0"/>
                <w:color w:val="111827"/>
                <w:sz w:val="16"/>
              </w:rPr>
              <w:t>能源行业分析师</w:t>
            </w:r>
          </w:p>
        </w:tc>
        <w:tc>
          <w:tcPr>
            <w:tcW w:type="dxa" w:w="1680"/>
            <w:vAlign w:val="center"/>
          </w:tcPr>
          <w:p>
            <w:pPr>
              <w:spacing w:before="0" w:after="0"/>
            </w:pPr>
            <w:r/>
            <w:r>
              <w:rPr>
                <w:rFonts w:ascii="Calibri" w:hAnsi="Calibri" w:eastAsia="Arial Unicode MS"/>
                <w:b w:val="0"/>
                <w:color w:val="111827"/>
                <w:sz w:val="16"/>
              </w:rPr>
              <w:t>宏观通胀传导</w:t>
            </w:r>
          </w:p>
        </w:tc>
        <w:tc>
          <w:tcPr>
            <w:tcW w:type="dxa" w:w="900"/>
            <w:vAlign w:val="center"/>
          </w:tcPr>
          <w:p>
            <w:pPr>
              <w:spacing w:before="0" w:after="0"/>
              <w:jc w:val="center"/>
            </w:pPr>
            <w:r/>
            <w:r>
              <w:rPr>
                <w:rFonts w:ascii="Calibri" w:hAnsi="Calibri" w:eastAsia="Arial Unicode MS"/>
                <w:b/>
                <w:color w:val="111827"/>
                <w:sz w:val="17"/>
              </w:rPr>
              <w:t>43.7</w:t>
            </w:r>
          </w:p>
        </w:tc>
        <w:tc>
          <w:tcPr>
            <w:tcW w:type="dxa" w:w="1500"/>
            <w:vAlign w:val="center"/>
          </w:tcPr>
          <w:p>
            <w:pPr>
              <w:spacing w:before="0" w:after="0"/>
              <w:jc w:val="center"/>
            </w:pPr>
            <w:r/>
            <w:r>
              <w:rPr>
                <w:rFonts w:ascii="Calibri" w:hAnsi="Calibri" w:eastAsia="Arial Unicode MS"/>
                <w:b w:val="0"/>
                <w:color w:val="111827"/>
                <w:sz w:val="16"/>
              </w:rPr>
              <w:t>风险 1</w:t>
            </w:r>
          </w:p>
        </w:tc>
      </w:tr>
      <w:tr>
        <w:tc>
          <w:tcPr>
            <w:tcW w:type="dxa" w:w="3720"/>
            <w:vAlign w:val="center"/>
          </w:tcPr>
          <w:p>
            <w:pPr>
              <w:spacing w:before="0" w:after="0"/>
            </w:pPr>
            <w:r/>
            <w:r>
              <w:rPr>
                <w:rFonts w:ascii="Calibri" w:hAnsi="Calibri" w:eastAsia="Arial Unicode MS"/>
                <w:b w:val="0"/>
                <w:color w:val="111827"/>
                <w:sz w:val="17"/>
              </w:rPr>
              <w:t>交叉验证报告</w:t>
            </w:r>
          </w:p>
        </w:tc>
        <w:tc>
          <w:tcPr>
            <w:tcW w:type="dxa" w:w="1560"/>
            <w:vAlign w:val="center"/>
          </w:tcPr>
          <w:p>
            <w:pPr>
              <w:spacing w:before="0" w:after="0"/>
            </w:pPr>
            <w:r/>
            <w:r>
              <w:rPr>
                <w:rFonts w:ascii="Calibri" w:hAnsi="Calibri" w:eastAsia="Arial Unicode MS"/>
                <w:b w:val="0"/>
                <w:color w:val="111827"/>
                <w:sz w:val="16"/>
              </w:rPr>
              <w:t>深研主编</w:t>
            </w:r>
          </w:p>
        </w:tc>
        <w:tc>
          <w:tcPr>
            <w:tcW w:type="dxa" w:w="1680"/>
            <w:vAlign w:val="center"/>
          </w:tcPr>
          <w:p>
            <w:pPr>
              <w:spacing w:before="0" w:after="0"/>
            </w:pPr>
            <w:r/>
            <w:r>
              <w:rPr>
                <w:rFonts w:ascii="Calibri" w:hAnsi="Calibri" w:eastAsia="Arial Unicode MS"/>
                <w:b w:val="0"/>
                <w:color w:val="111827"/>
                <w:sz w:val="16"/>
              </w:rPr>
              <w:t>AI 基础设施</w:t>
            </w:r>
          </w:p>
        </w:tc>
        <w:tc>
          <w:tcPr>
            <w:tcW w:type="dxa" w:w="900"/>
            <w:vAlign w:val="center"/>
          </w:tcPr>
          <w:p>
            <w:pPr>
              <w:spacing w:before="0" w:after="0"/>
              <w:jc w:val="center"/>
            </w:pPr>
            <w:r/>
            <w:r>
              <w:rPr>
                <w:rFonts w:ascii="Calibri" w:hAnsi="Calibri" w:eastAsia="Arial Unicode MS"/>
                <w:b/>
                <w:color w:val="111827"/>
                <w:sz w:val="17"/>
              </w:rPr>
              <w:t>43.0</w:t>
            </w:r>
          </w:p>
        </w:tc>
        <w:tc>
          <w:tcPr>
            <w:tcW w:type="dxa" w:w="1500"/>
            <w:vAlign w:val="center"/>
          </w:tcPr>
          <w:p>
            <w:pPr>
              <w:spacing w:before="0" w:after="0"/>
              <w:jc w:val="center"/>
            </w:pPr>
            <w:r/>
            <w:r>
              <w:rPr>
                <w:rFonts w:ascii="Calibri" w:hAnsi="Calibri" w:eastAsia="Arial Unicode MS"/>
                <w:b w:val="0"/>
                <w:color w:val="111827"/>
                <w:sz w:val="16"/>
              </w:rPr>
              <w:t>风险 1</w:t>
            </w:r>
          </w:p>
        </w:tc>
      </w:tr>
      <w:tr>
        <w:tc>
          <w:tcPr>
            <w:tcW w:type="dxa" w:w="3720"/>
            <w:vAlign w:val="center"/>
          </w:tcPr>
          <w:p>
            <w:pPr>
              <w:spacing w:before="0" w:after="0"/>
            </w:pPr>
            <w:r/>
            <w:r>
              <w:rPr>
                <w:rFonts w:ascii="Calibri" w:hAnsi="Calibri" w:eastAsia="Arial Unicode MS"/>
                <w:b w:val="0"/>
                <w:color w:val="111827"/>
                <w:sz w:val="17"/>
              </w:rPr>
              <w:t>国茂股份（603915.SH）2026年毛利率跃升假设与原材料价格上涨的脱节辩论 — 2026-07-09</w:t>
            </w:r>
          </w:p>
        </w:tc>
        <w:tc>
          <w:tcPr>
            <w:tcW w:type="dxa" w:w="1560"/>
            <w:vAlign w:val="center"/>
          </w:tcPr>
          <w:p>
            <w:pPr>
              <w:spacing w:before="0" w:after="0"/>
            </w:pPr>
            <w:r/>
            <w:r>
              <w:rPr>
                <w:rFonts w:ascii="Calibri" w:hAnsi="Calibri" w:eastAsia="Arial Unicode MS"/>
                <w:b w:val="0"/>
                <w:color w:val="111827"/>
                <w:sz w:val="16"/>
              </w:rPr>
              <w:t>未识别</w:t>
            </w:r>
          </w:p>
        </w:tc>
        <w:tc>
          <w:tcPr>
            <w:tcW w:type="dxa" w:w="1680"/>
            <w:vAlign w:val="center"/>
          </w:tcPr>
          <w:p>
            <w:pPr>
              <w:spacing w:before="0" w:after="0"/>
            </w:pPr>
            <w:r/>
            <w:r>
              <w:rPr>
                <w:rFonts w:ascii="Calibri" w:hAnsi="Calibri" w:eastAsia="Arial Unicode MS"/>
                <w:b w:val="0"/>
                <w:color w:val="111827"/>
                <w:sz w:val="16"/>
              </w:rPr>
              <w:t>宏观通胀传导</w:t>
            </w:r>
          </w:p>
        </w:tc>
        <w:tc>
          <w:tcPr>
            <w:tcW w:type="dxa" w:w="900"/>
            <w:vAlign w:val="center"/>
          </w:tcPr>
          <w:p>
            <w:pPr>
              <w:spacing w:before="0" w:after="0"/>
              <w:jc w:val="center"/>
            </w:pPr>
            <w:r/>
            <w:r>
              <w:rPr>
                <w:rFonts w:ascii="Calibri" w:hAnsi="Calibri" w:eastAsia="Arial Unicode MS"/>
                <w:b/>
                <w:color w:val="111827"/>
                <w:sz w:val="17"/>
              </w:rPr>
              <w:t>42.9</w:t>
            </w:r>
          </w:p>
        </w:tc>
        <w:tc>
          <w:tcPr>
            <w:tcW w:type="dxa" w:w="1500"/>
            <w:vAlign w:val="center"/>
          </w:tcPr>
          <w:p>
            <w:pPr>
              <w:spacing w:before="0" w:after="0"/>
              <w:jc w:val="center"/>
            </w:pPr>
            <w:r/>
            <w:r>
              <w:rPr>
                <w:rFonts w:ascii="Calibri" w:hAnsi="Calibri" w:eastAsia="Arial Unicode MS"/>
                <w:b w:val="0"/>
                <w:color w:val="111827"/>
                <w:sz w:val="16"/>
              </w:rPr>
              <w:t>风险 1</w:t>
            </w:r>
          </w:p>
        </w:tc>
      </w:tr>
      <w:tr>
        <w:tc>
          <w:tcPr>
            <w:tcW w:type="dxa" w:w="3720"/>
            <w:vAlign w:val="center"/>
          </w:tcPr>
          <w:p>
            <w:pPr>
              <w:spacing w:before="0" w:after="0"/>
            </w:pPr>
            <w:r/>
            <w:r>
              <w:rPr>
                <w:rFonts w:ascii="Calibri" w:hAnsi="Calibri" w:eastAsia="Arial Unicode MS"/>
                <w:b w:val="0"/>
                <w:color w:val="111827"/>
                <w:sz w:val="17"/>
              </w:rPr>
              <w:t>研究记录 03 全球宏观压力测试 — 2026-07-09</w:t>
            </w:r>
          </w:p>
        </w:tc>
        <w:tc>
          <w:tcPr>
            <w:tcW w:type="dxa" w:w="1560"/>
            <w:vAlign w:val="center"/>
          </w:tcPr>
          <w:p>
            <w:pPr>
              <w:spacing w:before="0" w:after="0"/>
            </w:pPr>
            <w:r/>
            <w:r>
              <w:rPr>
                <w:rFonts w:ascii="Calibri" w:hAnsi="Calibri" w:eastAsia="Arial Unicode MS"/>
                <w:b w:val="0"/>
                <w:color w:val="111827"/>
                <w:sz w:val="16"/>
              </w:rPr>
              <w:t>未识别</w:t>
            </w:r>
          </w:p>
        </w:tc>
        <w:tc>
          <w:tcPr>
            <w:tcW w:type="dxa" w:w="1680"/>
            <w:vAlign w:val="center"/>
          </w:tcPr>
          <w:p>
            <w:pPr>
              <w:spacing w:before="0" w:after="0"/>
            </w:pPr>
            <w:r/>
            <w:r>
              <w:rPr>
                <w:rFonts w:ascii="Calibri" w:hAnsi="Calibri" w:eastAsia="Arial Unicode MS"/>
                <w:b w:val="0"/>
                <w:color w:val="111827"/>
                <w:sz w:val="16"/>
              </w:rPr>
              <w:t>宏观通胀传导</w:t>
            </w:r>
          </w:p>
        </w:tc>
        <w:tc>
          <w:tcPr>
            <w:tcW w:type="dxa" w:w="900"/>
            <w:vAlign w:val="center"/>
          </w:tcPr>
          <w:p>
            <w:pPr>
              <w:spacing w:before="0" w:after="0"/>
              <w:jc w:val="center"/>
            </w:pPr>
            <w:r/>
            <w:r>
              <w:rPr>
                <w:rFonts w:ascii="Calibri" w:hAnsi="Calibri" w:eastAsia="Arial Unicode MS"/>
                <w:b/>
                <w:color w:val="111827"/>
                <w:sz w:val="17"/>
              </w:rPr>
              <w:t>42.8</w:t>
            </w:r>
          </w:p>
        </w:tc>
        <w:tc>
          <w:tcPr>
            <w:tcW w:type="dxa" w:w="1500"/>
            <w:vAlign w:val="center"/>
          </w:tcPr>
          <w:p>
            <w:pPr>
              <w:spacing w:before="0" w:after="0"/>
              <w:jc w:val="center"/>
            </w:pPr>
            <w:r/>
            <w:r>
              <w:rPr>
                <w:rFonts w:ascii="Calibri" w:hAnsi="Calibri" w:eastAsia="Arial Unicode MS"/>
                <w:b w:val="0"/>
                <w:color w:val="111827"/>
                <w:sz w:val="16"/>
              </w:rPr>
              <w:t>风险 2</w:t>
            </w:r>
          </w:p>
        </w:tc>
      </w:tr>
    </w:tbl>
    <w:p>
      <w:pPr>
        <w:spacing w:before="0" w:after="160" w:line="264" w:lineRule="auto"/>
      </w:pPr>
      <w:r>
        <w:rPr>
          <w:rFonts w:ascii="Calibri" w:hAnsi="Calibri" w:eastAsia="Arial Unicode MS"/>
          <w:b w:val="0"/>
          <w:i/>
          <w:color w:val="667085"/>
          <w:sz w:val="17"/>
        </w:rPr>
        <w:t>Table 1. Evidence table excerpt. Full evidence remains available in the interactive daily brief.</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eastAsia="Arial Unicode MS"/>
        <w:color w:val="667085"/>
        <w:sz w:val="17"/>
      </w:rPr>
      <w:t>Generated from local AI Institute archive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
      <w:rPr>
        <w:rFonts w:ascii="Calibri" w:hAnsi="Calibri" w:eastAsia="Arial Unicode MS"/>
        <w:color w:val="667085"/>
        <w:sz w:val="18"/>
      </w:rPr>
      <w:t>AI Institute Daily Investor Brief</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eastAsia="Arial Unicode MS"/>
      <w:b w:val="0"/>
      <w:color w:val="11182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eastAsia="Arial Unicode MS"/>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eastAsia="Arial Unicode MS"/>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eastAsia="Arial Unicode MS"/>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eastAsia="Arial Unicode MS"/>
      <w:b/>
      <w:color w:val="0B2545"/>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eastAsia="Arial Unicode MS"/>
      <w:b w:val="0"/>
      <w:i/>
      <w:iCs/>
      <w:color w:val="475569"/>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hyperlink" Target="reports/archive-fb093b6c650b" TargetMode="External"/><Relationship Id="rId13" Type="http://schemas.openxmlformats.org/officeDocument/2006/relationships/hyperlink" Target="reports/archive-db053b73b427" TargetMode="External"/><Relationship Id="rId14" Type="http://schemas.openxmlformats.org/officeDocument/2006/relationships/hyperlink" Target="reports/archive-1c92b6b0a841" TargetMode="External"/><Relationship Id="rId15" Type="http://schemas.openxmlformats.org/officeDocument/2006/relationships/image" Target="media/image2.png"/><Relationship Id="rId16" Type="http://schemas.openxmlformats.org/officeDocument/2006/relationships/image" Target="media/image3.png"/><Relationship Id="rId17" Type="http://schemas.openxmlformats.org/officeDocument/2006/relationships/image" Target="media/image4.png"/><Relationship Id="rId18" Type="http://schemas.openxmlformats.org/officeDocument/2006/relationships/image" Target="media/image5.png"/><Relationship Id="rId19" Type="http://schemas.openxmlformats.org/officeDocument/2006/relationships/hyperlink" Target="reports/archive-31a7794cfb76" TargetMode="External"/><Relationship Id="rId20" Type="http://schemas.openxmlformats.org/officeDocument/2006/relationships/hyperlink" Target="reports/archive-887d4a2f0532" TargetMode="External"/><Relationship Id="rId21" Type="http://schemas.openxmlformats.org/officeDocument/2006/relationships/hyperlink" Target="reports/archive-57084b8652e9" TargetMode="External"/><Relationship Id="rId22" Type="http://schemas.openxmlformats.org/officeDocument/2006/relationships/hyperlink" Target="reports/archive-04ed11750f7a" TargetMode="External"/><Relationship Id="rId23" Type="http://schemas.openxmlformats.org/officeDocument/2006/relationships/hyperlink" Target="reports/archive-4740d7c7d4bb" TargetMode="External"/><Relationship Id="rId24" Type="http://schemas.openxmlformats.org/officeDocument/2006/relationships/hyperlink" Target="reports/archive-710afaa90d12" TargetMode="External"/><Relationship Id="rId25" Type="http://schemas.openxmlformats.org/officeDocument/2006/relationships/hyperlink" Target="reports/archive-3cad4d3b991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Institute Daily Brief 2026-07-09</dc:title>
  <dc:subject>Daily investor research brief</dc:subject>
  <dc:creator>AI Institute</dc:creator>
  <cp:keywords/>
  <dc:description>generated by python-docx</dc:description>
  <cp:lastModifiedBy/>
  <cp:revision>1</cp:revision>
  <dcterms:created xsi:type="dcterms:W3CDTF">2013-12-23T23:15:00Z</dcterms:created>
  <dcterms:modified xsi:type="dcterms:W3CDTF">2013-12-23T23:15:00Z</dcterms:modified>
  <cp:category/>
</cp:coreProperties>
</file>