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360"/>
        <w:jc w:val="center"/>
      </w:pPr>
      <w:r>
        <w:rPr>
          <w:rFonts w:ascii="Calibri" w:hAnsi="Calibri" w:eastAsia="Hiragino Sans GB"/>
          <w:b/>
          <w:color w:val="D85B16"/>
          <w:sz w:val="18"/>
        </w:rPr>
        <w:t>AI INSTITUTE · WEEKLY RESEARCH</w:t>
      </w:r>
    </w:p>
    <w:p>
      <w:pPr>
        <w:spacing w:after="160"/>
        <w:jc w:val="center"/>
      </w:pPr>
      <w:r>
        <w:rPr>
          <w:rFonts w:ascii="Calibri" w:hAnsi="Calibri" w:eastAsia="Hiragino Sans GB"/>
          <w:b/>
          <w:color w:val="111111"/>
          <w:sz w:val="60"/>
        </w:rPr>
        <w:t>AI Institute 周度研究报告</w:t>
      </w:r>
    </w:p>
    <w:p>
      <w:pPr>
        <w:spacing w:after="480"/>
        <w:jc w:val="center"/>
      </w:pPr>
      <w:r>
        <w:rPr>
          <w:rFonts w:ascii="Calibri" w:hAnsi="Calibri" w:eastAsia="Hiragino Sans GB"/>
          <w:b/>
          <w:color w:val="5E6268"/>
          <w:sz w:val="28"/>
        </w:rPr>
        <w:t>2026-W29 AI Institute 周度投资研究全景</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2340"/>
        <w:gridCol w:w="2340"/>
        <w:gridCol w:w="2340"/>
        <w:gridCol w:w="2340"/>
      </w:tblGrid>
      <w:tr>
        <w:trPr>
          <w:cantSplit/>
        </w:trPr>
        <w:tc>
          <w:tcPr>
            <w:tcW w:type="dxa" w:w="2340"/>
            <w:tcMar>
              <w:top w:w="80" w:type="dxa"/>
              <w:bottom w:w="80" w:type="dxa"/>
              <w:start w:w="120" w:type="dxa"/>
              <w:end w:w="120" w:type="dxa"/>
            </w:tcMar>
            <w:vAlign w:val="top"/>
            <w:shd w:fill="F2F4F7"/>
          </w:tcPr>
          <w:p>
            <w:pPr>
              <w:spacing w:after="40"/>
              <w:jc w:val="center"/>
            </w:pPr>
            <w:r>
              <w:rPr>
                <w:rFonts w:ascii="Calibri" w:hAnsi="Calibri" w:eastAsia="Hiragino Sans GB"/>
                <w:b/>
                <w:color w:val="1D5FD1"/>
                <w:sz w:val="15"/>
              </w:rPr>
              <w:t>WEEK</w:t>
            </w:r>
          </w:p>
          <w:p>
            <w:pPr>
              <w:spacing w:after="0"/>
              <w:jc w:val="center"/>
            </w:pPr>
            <w:r>
              <w:rPr>
                <w:rFonts w:ascii="Calibri" w:hAnsi="Calibri" w:eastAsia="Hiragino Sans GB"/>
                <w:b/>
                <w:color w:val="111111"/>
                <w:sz w:val="19"/>
              </w:rPr>
              <w:t>2026-W29</w:t>
            </w:r>
          </w:p>
        </w:tc>
        <w:tc>
          <w:tcPr>
            <w:tcW w:type="dxa" w:w="2340"/>
            <w:tcMar>
              <w:top w:w="80" w:type="dxa"/>
              <w:bottom w:w="80" w:type="dxa"/>
              <w:start w:w="120" w:type="dxa"/>
              <w:end w:w="120" w:type="dxa"/>
            </w:tcMar>
            <w:vAlign w:val="top"/>
            <w:shd w:fill="F2F4F7"/>
          </w:tcPr>
          <w:p>
            <w:pPr>
              <w:spacing w:after="40"/>
              <w:jc w:val="center"/>
            </w:pPr>
            <w:r>
              <w:rPr>
                <w:rFonts w:ascii="Calibri" w:hAnsi="Calibri" w:eastAsia="Hiragino Sans GB"/>
                <w:b/>
                <w:color w:val="1D5FD1"/>
                <w:sz w:val="15"/>
              </w:rPr>
              <w:t>WINDOW</w:t>
            </w:r>
          </w:p>
          <w:p>
            <w:pPr>
              <w:spacing w:after="0"/>
              <w:jc w:val="center"/>
            </w:pPr>
            <w:r>
              <w:rPr>
                <w:rFonts w:ascii="Calibri" w:hAnsi="Calibri" w:eastAsia="Hiragino Sans GB"/>
                <w:b/>
                <w:color w:val="111111"/>
                <w:sz w:val="19"/>
              </w:rPr>
              <w:t>2026-07-08 → 2026-07-14</w:t>
            </w:r>
          </w:p>
        </w:tc>
        <w:tc>
          <w:tcPr>
            <w:tcW w:type="dxa" w:w="2340"/>
            <w:tcMar>
              <w:top w:w="80" w:type="dxa"/>
              <w:bottom w:w="80" w:type="dxa"/>
              <w:start w:w="120" w:type="dxa"/>
              <w:end w:w="120" w:type="dxa"/>
            </w:tcMar>
            <w:vAlign w:val="top"/>
            <w:shd w:fill="F2F4F7"/>
          </w:tcPr>
          <w:p>
            <w:pPr>
              <w:spacing w:after="40"/>
              <w:jc w:val="center"/>
            </w:pPr>
            <w:r>
              <w:rPr>
                <w:rFonts w:ascii="Calibri" w:hAnsi="Calibri" w:eastAsia="Hiragino Sans GB"/>
                <w:b/>
                <w:color w:val="1D5FD1"/>
                <w:sz w:val="15"/>
              </w:rPr>
              <w:t>EDITION</w:t>
            </w:r>
          </w:p>
          <w:p>
            <w:pPr>
              <w:spacing w:after="0"/>
              <w:jc w:val="center"/>
            </w:pPr>
            <w:r>
              <w:rPr>
                <w:rFonts w:ascii="Calibri" w:hAnsi="Calibri" w:eastAsia="Hiragino Sans GB"/>
                <w:b/>
                <w:color w:val="111111"/>
                <w:sz w:val="19"/>
              </w:rPr>
              <w:t>rolling · REV 1</w:t>
            </w:r>
          </w:p>
        </w:tc>
        <w:tc>
          <w:tcPr>
            <w:tcW w:type="dxa" w:w="2340"/>
            <w:tcMar>
              <w:top w:w="80" w:type="dxa"/>
              <w:bottom w:w="80" w:type="dxa"/>
              <w:start w:w="120" w:type="dxa"/>
              <w:end w:w="120" w:type="dxa"/>
            </w:tcMar>
            <w:vAlign w:val="top"/>
            <w:shd w:fill="F2F4F7"/>
          </w:tcPr>
          <w:p>
            <w:pPr>
              <w:spacing w:after="40"/>
              <w:jc w:val="center"/>
            </w:pPr>
            <w:r>
              <w:rPr>
                <w:rFonts w:ascii="Calibri" w:hAnsi="Calibri" w:eastAsia="Hiragino Sans GB"/>
                <w:b/>
                <w:color w:val="1D5FD1"/>
                <w:sz w:val="15"/>
              </w:rPr>
              <w:t>QUALITY</w:t>
            </w:r>
          </w:p>
          <w:p>
            <w:pPr>
              <w:spacing w:after="0"/>
              <w:jc w:val="center"/>
            </w:pPr>
            <w:r>
              <w:rPr>
                <w:rFonts w:ascii="Calibri" w:hAnsi="Calibri" w:eastAsia="Hiragino Sans GB"/>
                <w:b/>
                <w:color w:val="111111"/>
                <w:sz w:val="19"/>
              </w:rPr>
              <w:t>pass_with_warnings · 50</w:t>
            </w:r>
          </w:p>
        </w:tc>
      </w:tr>
    </w:tbl>
    <w:p>
      <w:pPr>
        <w:spacing w:after="80"/>
      </w:pP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9360"/>
      </w:tblGrid>
      <w:tr>
        <w:trPr>
          <w:cantSplit/>
        </w:trPr>
        <w:tc>
          <w:tcPr>
            <w:tcW w:type="dxa" w:w="9360"/>
            <w:tcMar>
              <w:top w:w="80" w:type="dxa"/>
              <w:bottom w:w="80" w:type="dxa"/>
              <w:start w:w="120" w:type="dxa"/>
              <w:end w:w="120" w:type="dxa"/>
            </w:tcMar>
            <w:vAlign w:val="top"/>
            <w:shd w:fill="F8F9FA"/>
          </w:tcPr>
          <w:p>
            <w:pPr>
              <w:spacing w:before="80" w:after="80"/>
            </w:pPr>
            <w:r>
              <w:rPr>
                <w:rFonts w:ascii="Calibri" w:hAnsi="Calibri" w:eastAsia="Hiragino Sans GB"/>
                <w:b/>
                <w:color w:val="D85B16"/>
                <w:sz w:val="17"/>
              </w:rPr>
              <w:t>一句话结论</w:t>
              <w:br/>
            </w:r>
            <w:r>
              <w:rPr>
                <w:rFonts w:ascii="Calibri" w:hAnsi="Calibri" w:eastAsia="Hiragino Sans GB"/>
                <w:b/>
                <w:color w:val="111111"/>
                <w:sz w:val="24"/>
              </w:rPr>
              <w:t>本周的核心不是追逐研究热度，而是把 AI 电力/电网设备 与 A股半导体/两融负 Gamma 拆成可执行、可证伪的赛道和标的判断。</w:t>
            </w:r>
          </w:p>
        </w:tc>
      </w:tr>
    </w:tbl>
    <w:p>
      <w:pPr>
        <w:spacing w:before="320" w:after="0"/>
        <w:jc w:val="center"/>
      </w:pPr>
      <w:hyperlink r:id="rId11">
        <w:r>
          <w:rPr>
            <w:color w:val="1D5FD1"/>
            <w:u w:val="single"/>
            <w:sz w:val="18"/>
            <w:szCs w:val="18"/>
            <w:rFonts w:ascii="Calibri" w:hAnsi="Calibri" w:eastAsia="Hiragino Sans GB"/>
          </w:rPr>
          <w:t>打开受保护的在线周报</w:t>
        </w:r>
      </w:hyperlink>
    </w:p>
    <w:p>
      <w:r>
        <w:br w:type="page"/>
      </w:r>
    </w:p>
    <w:p>
      <w:pPr>
        <w:pStyle w:val="SectionLabel"/>
      </w:pPr>
      <w:r>
        <w:rPr>
          <w:rFonts w:ascii="Calibri" w:hAnsi="Calibri" w:eastAsia="Hiragino Sans GB"/>
          <w:b/>
          <w:color w:val="1D5FD1"/>
          <w:sz w:val="17"/>
        </w:rPr>
        <w:t>DECISION FIRST</w:t>
      </w:r>
    </w:p>
    <w:p>
      <w:pPr>
        <w:pStyle w:val="Heading1"/>
      </w:pPr>
      <w:r>
        <w:t>1. 执行摘要</w:t>
      </w:r>
    </w:p>
    <w:p>
      <w:pPr>
        <w:keepLines w:val="0"/>
      </w:pPr>
      <w:r>
        <w:rPr>
          <w:rFonts w:ascii="Calibri" w:hAnsi="Calibri" w:eastAsia="Hiragino Sans GB"/>
          <w:b w:val="0"/>
          <w:color w:val="111111"/>
          <w:sz w:val="22"/>
        </w:rPr>
        <w:t>原油市场监测：WTI/Brent、OPEC+、库存 与 §1 THESIS 构成本周最强的证据主轴，而 隔夜社交舆情研究候选 提供了必要的反向约束。公开研究合约显示，优先级正在从宽泛主题向可交付、可验证的产业链环节集中；组合层面应先读取 HOLD A股红利/硬科技杠铃、HOLD Mag7 AI 平台再分层、HOLD 酒店餐饮休闲/服务消费，再用后续订单、交付、政策与市场数据确认。这是首个有持久化证据账本的周度基线版，暂不伪造环比变化。</w:t>
      </w:r>
    </w:p>
    <w:p>
      <w:pPr>
        <w:keepLines/>
      </w:pPr>
      <w:r>
        <w:rPr>
          <w:rFonts w:ascii="Calibri" w:hAnsi="Calibri" w:eastAsia="Hiragino Sans GB"/>
          <w:b w:val="0"/>
          <w:color w:val="5E6268"/>
          <w:sz w:val="22"/>
        </w:rPr>
        <w:t>周报的价值不在于给出更多观点，而在于留下可复查的决策、证据和证伪条件。下一周若触发器没有出现，应降低置信度，而不是用新的叙事延长旧判断。</w:t>
      </w:r>
    </w:p>
    <w:p>
      <w:pPr>
        <w:pStyle w:val="Heading1"/>
      </w:pPr>
      <w:r>
        <w:t>2. 本周操作结论</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850"/>
        <w:gridCol w:w="2050"/>
        <w:gridCol w:w="4200"/>
        <w:gridCol w:w="2260"/>
      </w:tblGrid>
      <w:tr>
        <w:trPr>
          <w:cantSplit/>
          <w:tblHeader w:val="true"/>
        </w:trPr>
        <w:tc>
          <w:tcPr>
            <w:tcW w:type="dxa" w:w="8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6"/>
              </w:rPr>
              <w:t>ACTION</w:t>
            </w:r>
          </w:p>
        </w:tc>
        <w:tc>
          <w:tcPr>
            <w:tcW w:type="dxa" w:w="20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6"/>
              </w:rPr>
              <w:t>TARGET</w:t>
            </w:r>
          </w:p>
        </w:tc>
        <w:tc>
          <w:tcPr>
            <w:tcW w:type="dxa" w:w="42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6"/>
              </w:rPr>
              <w:t>DRIVER / CONFIRMATION</w:t>
            </w:r>
          </w:p>
        </w:tc>
        <w:tc>
          <w:tcPr>
            <w:tcW w:type="dxa" w:w="226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6"/>
              </w:rPr>
              <w:t>INVALIDATION</w:t>
            </w:r>
          </w:p>
        </w:tc>
      </w:tr>
      <w:tr>
        <w:trPr>
          <w:cantSplit/>
        </w:trPr>
        <w:tc>
          <w:tcPr>
            <w:tcW w:type="dxa" w:w="850"/>
            <w:tcMar>
              <w:top w:w="80" w:type="dxa"/>
              <w:bottom w:w="80" w:type="dxa"/>
              <w:start w:w="120" w:type="dxa"/>
              <w:end w:w="120" w:type="dxa"/>
            </w:tcMar>
            <w:vAlign w:val="top"/>
          </w:tcPr>
          <w:p>
            <w:pPr>
              <w:spacing w:before="0" w:after="0" w:line="252" w:lineRule="auto"/>
            </w:pPr>
            <w:r>
              <w:rPr>
                <w:rFonts w:ascii="Calibri" w:hAnsi="Calibri" w:eastAsia="Hiragino Sans GB"/>
                <w:b/>
                <w:color w:val="1D5FD1"/>
                <w:sz w:val="17"/>
              </w:rPr>
              <w:t>HOLD</w:t>
            </w:r>
          </w:p>
        </w:tc>
        <w:tc>
          <w:tcPr>
            <w:tcW w:type="dxa" w:w="2050"/>
            <w:tcMar>
              <w:top w:w="80" w:type="dxa"/>
              <w:bottom w:w="80" w:type="dxa"/>
              <w:start w:w="120" w:type="dxa"/>
              <w:end w:w="120" w:type="dxa"/>
            </w:tcMar>
            <w:vAlign w:val="top"/>
          </w:tcPr>
          <w:p>
            <w:pPr>
              <w:spacing w:after="40"/>
            </w:pPr>
            <w:hyperlink r:id="rId12">
              <w:r>
                <w:rPr>
                  <w:color w:val="1D5FD1"/>
                  <w:u w:val="single"/>
                  <w:b/>
                  <w:sz w:val="17"/>
                  <w:szCs w:val="17"/>
                  <w:rFonts w:ascii="Calibri" w:hAnsi="Calibri" w:eastAsia="Hiragino Sans GB"/>
                </w:rPr>
                <w:t>A股红利/硬科技杠铃</w:t>
              </w:r>
            </w:hyperlink>
            <w:r>
              <w:rPr>
                <w:rFonts w:ascii="Calibri" w:hAnsi="Calibri" w:eastAsia="Hiragino Sans GB"/>
                <w:color w:val="5E6268"/>
                <w:sz w:val="15"/>
              </w:rPr>
              <w:br/>
              <w:t>lane · 2026-07-14 · 92%</w:t>
            </w:r>
          </w:p>
        </w:tc>
        <w:tc>
          <w:tcPr>
            <w:tcW w:type="dxa" w:w="420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6"/>
              </w:rPr>
              <w:t>观察等待：先放入观察池，只在证据密度和价格确认同时改善时进入组合。 确认：融资余额、ETF 申赎和北向资金是否同向</w:t>
            </w:r>
          </w:p>
        </w:tc>
        <w:tc>
          <w:tcPr>
            <w:tcW w:type="dxa" w:w="2260"/>
            <w:tcMar>
              <w:top w:w="80" w:type="dxa"/>
              <w:bottom w:w="80" w:type="dxa"/>
              <w:start w:w="120" w:type="dxa"/>
              <w:end w:w="120" w:type="dxa"/>
            </w:tcMar>
            <w:vAlign w:val="top"/>
          </w:tcPr>
          <w:p>
            <w:pPr>
              <w:spacing w:before="0" w:after="0" w:line="252" w:lineRule="auto"/>
            </w:pPr>
            <w:r>
              <w:rPr>
                <w:rFonts w:ascii="Calibri" w:hAnsi="Calibri" w:eastAsia="Hiragino Sans GB"/>
                <w:b w:val="0"/>
                <w:color w:val="C92A2A"/>
                <w:sz w:val="16"/>
              </w:rPr>
              <w:t>支持证据停止更新，价格或资金面先于基本面走弱。</w:t>
            </w:r>
          </w:p>
        </w:tc>
      </w:tr>
      <w:tr>
        <w:trPr>
          <w:cantSplit/>
        </w:trPr>
        <w:tc>
          <w:tcPr>
            <w:tcW w:type="dxa" w:w="850"/>
            <w:tcMar>
              <w:top w:w="80" w:type="dxa"/>
              <w:bottom w:w="80" w:type="dxa"/>
              <w:start w:w="120" w:type="dxa"/>
              <w:end w:w="120" w:type="dxa"/>
            </w:tcMar>
            <w:vAlign w:val="top"/>
          </w:tcPr>
          <w:p>
            <w:pPr>
              <w:spacing w:before="0" w:after="0" w:line="252" w:lineRule="auto"/>
            </w:pPr>
            <w:r>
              <w:rPr>
                <w:rFonts w:ascii="Calibri" w:hAnsi="Calibri" w:eastAsia="Hiragino Sans GB"/>
                <w:b/>
                <w:color w:val="1D5FD1"/>
                <w:sz w:val="17"/>
              </w:rPr>
              <w:t>HOLD</w:t>
            </w:r>
          </w:p>
        </w:tc>
        <w:tc>
          <w:tcPr>
            <w:tcW w:type="dxa" w:w="2050"/>
            <w:tcMar>
              <w:top w:w="80" w:type="dxa"/>
              <w:bottom w:w="80" w:type="dxa"/>
              <w:start w:w="120" w:type="dxa"/>
              <w:end w:w="120" w:type="dxa"/>
            </w:tcMar>
            <w:vAlign w:val="top"/>
          </w:tcPr>
          <w:p>
            <w:pPr>
              <w:spacing w:after="40"/>
            </w:pPr>
            <w:hyperlink r:id="rId13">
              <w:r>
                <w:rPr>
                  <w:color w:val="1D5FD1"/>
                  <w:u w:val="single"/>
                  <w:b/>
                  <w:sz w:val="17"/>
                  <w:szCs w:val="17"/>
                  <w:rFonts w:ascii="Calibri" w:hAnsi="Calibri" w:eastAsia="Hiragino Sans GB"/>
                </w:rPr>
                <w:t>Mag7 AI 平台再分层</w:t>
              </w:r>
            </w:hyperlink>
            <w:r>
              <w:rPr>
                <w:rFonts w:ascii="Calibri" w:hAnsi="Calibri" w:eastAsia="Hiragino Sans GB"/>
                <w:color w:val="5E6268"/>
                <w:sz w:val="15"/>
              </w:rPr>
              <w:br/>
              <w:t>lane · 2026-07-14 · 92%</w:t>
            </w:r>
          </w:p>
        </w:tc>
        <w:tc>
          <w:tcPr>
            <w:tcW w:type="dxa" w:w="420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6"/>
              </w:rPr>
              <w:t>观察等待：先放入观察池，只在证据密度和价格确认同时改善时进入组合。 确认：云厂商 capex 指引是否继续上修</w:t>
            </w:r>
          </w:p>
        </w:tc>
        <w:tc>
          <w:tcPr>
            <w:tcW w:type="dxa" w:w="2260"/>
            <w:tcMar>
              <w:top w:w="80" w:type="dxa"/>
              <w:bottom w:w="80" w:type="dxa"/>
              <w:start w:w="120" w:type="dxa"/>
              <w:end w:w="120" w:type="dxa"/>
            </w:tcMar>
            <w:vAlign w:val="top"/>
          </w:tcPr>
          <w:p>
            <w:pPr>
              <w:spacing w:before="0" w:after="0" w:line="252" w:lineRule="auto"/>
            </w:pPr>
            <w:r>
              <w:rPr>
                <w:rFonts w:ascii="Calibri" w:hAnsi="Calibri" w:eastAsia="Hiragino Sans GB"/>
                <w:b w:val="0"/>
                <w:color w:val="C92A2A"/>
                <w:sz w:val="16"/>
              </w:rPr>
              <w:t>风险事件继续高于支持事件，且最新证据没有修复。</w:t>
            </w:r>
          </w:p>
        </w:tc>
      </w:tr>
      <w:tr>
        <w:trPr>
          <w:cantSplit/>
        </w:trPr>
        <w:tc>
          <w:tcPr>
            <w:tcW w:type="dxa" w:w="850"/>
            <w:tcMar>
              <w:top w:w="80" w:type="dxa"/>
              <w:bottom w:w="80" w:type="dxa"/>
              <w:start w:w="120" w:type="dxa"/>
              <w:end w:w="120" w:type="dxa"/>
            </w:tcMar>
            <w:vAlign w:val="top"/>
          </w:tcPr>
          <w:p>
            <w:pPr>
              <w:spacing w:before="0" w:after="0" w:line="252" w:lineRule="auto"/>
            </w:pPr>
            <w:r>
              <w:rPr>
                <w:rFonts w:ascii="Calibri" w:hAnsi="Calibri" w:eastAsia="Hiragino Sans GB"/>
                <w:b/>
                <w:color w:val="1D5FD1"/>
                <w:sz w:val="17"/>
              </w:rPr>
              <w:t>HOLD</w:t>
            </w:r>
          </w:p>
        </w:tc>
        <w:tc>
          <w:tcPr>
            <w:tcW w:type="dxa" w:w="2050"/>
            <w:tcMar>
              <w:top w:w="80" w:type="dxa"/>
              <w:bottom w:w="80" w:type="dxa"/>
              <w:start w:w="120" w:type="dxa"/>
              <w:end w:w="120" w:type="dxa"/>
            </w:tcMar>
            <w:vAlign w:val="top"/>
          </w:tcPr>
          <w:p>
            <w:pPr>
              <w:spacing w:after="40"/>
            </w:pPr>
            <w:hyperlink r:id="rId14">
              <w:r>
                <w:rPr>
                  <w:color w:val="1D5FD1"/>
                  <w:u w:val="single"/>
                  <w:b/>
                  <w:sz w:val="17"/>
                  <w:szCs w:val="17"/>
                  <w:rFonts w:ascii="Calibri" w:hAnsi="Calibri" w:eastAsia="Hiragino Sans GB"/>
                </w:rPr>
                <w:t>酒店餐饮休闲/服务消费</w:t>
              </w:r>
            </w:hyperlink>
            <w:r>
              <w:rPr>
                <w:rFonts w:ascii="Calibri" w:hAnsi="Calibri" w:eastAsia="Hiragino Sans GB"/>
                <w:color w:val="5E6268"/>
                <w:sz w:val="15"/>
              </w:rPr>
              <w:br/>
              <w:t>lane · 2026-07-14 · 92%</w:t>
            </w:r>
          </w:p>
        </w:tc>
        <w:tc>
          <w:tcPr>
            <w:tcW w:type="dxa" w:w="420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6"/>
              </w:rPr>
              <w:t>分歧主线：配对验证：这是有投资含义但证据分歧很高的主线，更适合配对验证、分批试错和严格证伪。 确认：价格弹性是否转化为利润率修复</w:t>
            </w:r>
          </w:p>
        </w:tc>
        <w:tc>
          <w:tcPr>
            <w:tcW w:type="dxa" w:w="2260"/>
            <w:tcMar>
              <w:top w:w="80" w:type="dxa"/>
              <w:bottom w:w="80" w:type="dxa"/>
              <w:start w:w="120" w:type="dxa"/>
              <w:end w:w="120" w:type="dxa"/>
            </w:tcMar>
            <w:vAlign w:val="top"/>
          </w:tcPr>
          <w:p>
            <w:pPr>
              <w:spacing w:before="0" w:after="0" w:line="252" w:lineRule="auto"/>
            </w:pPr>
            <w:r>
              <w:rPr>
                <w:rFonts w:ascii="Calibri" w:hAnsi="Calibri" w:eastAsia="Hiragino Sans GB"/>
                <w:b w:val="0"/>
                <w:color w:val="C92A2A"/>
                <w:sz w:val="16"/>
              </w:rPr>
              <w:t>风险事件继续高于支持事件，且最新证据没有修复。</w:t>
            </w:r>
          </w:p>
        </w:tc>
      </w:tr>
      <w:tr>
        <w:trPr>
          <w:cantSplit/>
        </w:trPr>
        <w:tc>
          <w:tcPr>
            <w:tcW w:type="dxa" w:w="850"/>
            <w:tcMar>
              <w:top w:w="80" w:type="dxa"/>
              <w:bottom w:w="80" w:type="dxa"/>
              <w:start w:w="120" w:type="dxa"/>
              <w:end w:w="120" w:type="dxa"/>
            </w:tcMar>
            <w:vAlign w:val="top"/>
          </w:tcPr>
          <w:p>
            <w:pPr>
              <w:spacing w:before="0" w:after="0" w:line="252" w:lineRule="auto"/>
            </w:pPr>
            <w:r>
              <w:rPr>
                <w:rFonts w:ascii="Calibri" w:hAnsi="Calibri" w:eastAsia="Hiragino Sans GB"/>
                <w:b/>
                <w:color w:val="1D5FD1"/>
                <w:sz w:val="17"/>
              </w:rPr>
              <w:t>HOLD</w:t>
            </w:r>
          </w:p>
        </w:tc>
        <w:tc>
          <w:tcPr>
            <w:tcW w:type="dxa" w:w="2050"/>
            <w:tcMar>
              <w:top w:w="80" w:type="dxa"/>
              <w:bottom w:w="80" w:type="dxa"/>
              <w:start w:w="120" w:type="dxa"/>
              <w:end w:w="120" w:type="dxa"/>
            </w:tcMar>
            <w:vAlign w:val="top"/>
          </w:tcPr>
          <w:p>
            <w:pPr>
              <w:spacing w:after="40"/>
            </w:pPr>
            <w:hyperlink r:id="rId15">
              <w:r>
                <w:rPr>
                  <w:color w:val="1D5FD1"/>
                  <w:u w:val="single"/>
                  <w:b/>
                  <w:sz w:val="17"/>
                  <w:szCs w:val="17"/>
                  <w:rFonts w:ascii="Calibri" w:hAnsi="Calibri" w:eastAsia="Hiragino Sans GB"/>
                </w:rPr>
                <w:t>AI 再通胀/利率敏感资产</w:t>
              </w:r>
            </w:hyperlink>
            <w:r>
              <w:rPr>
                <w:rFonts w:ascii="Calibri" w:hAnsi="Calibri" w:eastAsia="Hiragino Sans GB"/>
                <w:color w:val="5E6268"/>
                <w:sz w:val="15"/>
              </w:rPr>
              <w:br/>
              <w:t>lane · 2026-07-14 · 92%</w:t>
            </w:r>
          </w:p>
        </w:tc>
        <w:tc>
          <w:tcPr>
            <w:tcW w:type="dxa" w:w="420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6"/>
              </w:rPr>
              <w:t>观察等待：先放入观察池，只在证据密度和价格确认同时改善时进入组合。 确认：CPI/PCE 与油价是否重新推高实际利率</w:t>
            </w:r>
          </w:p>
        </w:tc>
        <w:tc>
          <w:tcPr>
            <w:tcW w:type="dxa" w:w="2260"/>
            <w:tcMar>
              <w:top w:w="80" w:type="dxa"/>
              <w:bottom w:w="80" w:type="dxa"/>
              <w:start w:w="120" w:type="dxa"/>
              <w:end w:w="120" w:type="dxa"/>
            </w:tcMar>
            <w:vAlign w:val="top"/>
          </w:tcPr>
          <w:p>
            <w:pPr>
              <w:spacing w:before="0" w:after="0" w:line="252" w:lineRule="auto"/>
            </w:pPr>
            <w:r>
              <w:rPr>
                <w:rFonts w:ascii="Calibri" w:hAnsi="Calibri" w:eastAsia="Hiragino Sans GB"/>
                <w:b w:val="0"/>
                <w:color w:val="C92A2A"/>
                <w:sz w:val="16"/>
              </w:rPr>
              <w:t>风险事件继续高于支持事件，且最新证据没有修复。</w:t>
            </w:r>
          </w:p>
        </w:tc>
      </w:tr>
      <w:tr>
        <w:trPr>
          <w:cantSplit/>
        </w:trPr>
        <w:tc>
          <w:tcPr>
            <w:tcW w:type="dxa" w:w="850"/>
            <w:tcMar>
              <w:top w:w="80" w:type="dxa"/>
              <w:bottom w:w="80" w:type="dxa"/>
              <w:start w:w="120" w:type="dxa"/>
              <w:end w:w="120" w:type="dxa"/>
            </w:tcMar>
            <w:vAlign w:val="top"/>
          </w:tcPr>
          <w:p>
            <w:pPr>
              <w:spacing w:before="0" w:after="0" w:line="252" w:lineRule="auto"/>
            </w:pPr>
            <w:r>
              <w:rPr>
                <w:rFonts w:ascii="Calibri" w:hAnsi="Calibri" w:eastAsia="Hiragino Sans GB"/>
                <w:b/>
                <w:color w:val="1D5FD1"/>
                <w:sz w:val="17"/>
              </w:rPr>
              <w:t>HOLD</w:t>
            </w:r>
          </w:p>
        </w:tc>
        <w:tc>
          <w:tcPr>
            <w:tcW w:type="dxa" w:w="2050"/>
            <w:tcMar>
              <w:top w:w="80" w:type="dxa"/>
              <w:bottom w:w="80" w:type="dxa"/>
              <w:start w:w="120" w:type="dxa"/>
              <w:end w:w="120" w:type="dxa"/>
            </w:tcMar>
            <w:vAlign w:val="top"/>
          </w:tcPr>
          <w:p>
            <w:pPr>
              <w:spacing w:after="40"/>
            </w:pPr>
            <w:hyperlink r:id="rId16">
              <w:r>
                <w:rPr>
                  <w:color w:val="1D5FD1"/>
                  <w:u w:val="single"/>
                  <w:b/>
                  <w:sz w:val="17"/>
                  <w:szCs w:val="17"/>
                  <w:rFonts w:ascii="Calibri" w:hAnsi="Calibri" w:eastAsia="Hiragino Sans GB"/>
                </w:rPr>
                <w:t>AI 软件效率/生产率</w:t>
              </w:r>
            </w:hyperlink>
            <w:r>
              <w:rPr>
                <w:rFonts w:ascii="Calibri" w:hAnsi="Calibri" w:eastAsia="Hiragino Sans GB"/>
                <w:color w:val="5E6268"/>
                <w:sz w:val="15"/>
              </w:rPr>
              <w:br/>
              <w:t>lane · 2026-07-14 · 92%</w:t>
            </w:r>
          </w:p>
        </w:tc>
        <w:tc>
          <w:tcPr>
            <w:tcW w:type="dxa" w:w="420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6"/>
              </w:rPr>
              <w:t>观察等待：先放入观察池，只在证据密度和价格确认同时改善时进入组合。 确认：CPI/PCE 与油价是否重新推高实际利率</w:t>
            </w:r>
          </w:p>
        </w:tc>
        <w:tc>
          <w:tcPr>
            <w:tcW w:type="dxa" w:w="2260"/>
            <w:tcMar>
              <w:top w:w="80" w:type="dxa"/>
              <w:bottom w:w="80" w:type="dxa"/>
              <w:start w:w="120" w:type="dxa"/>
              <w:end w:w="120" w:type="dxa"/>
            </w:tcMar>
            <w:vAlign w:val="top"/>
          </w:tcPr>
          <w:p>
            <w:pPr>
              <w:spacing w:before="0" w:after="0" w:line="252" w:lineRule="auto"/>
            </w:pPr>
            <w:r>
              <w:rPr>
                <w:rFonts w:ascii="Calibri" w:hAnsi="Calibri" w:eastAsia="Hiragino Sans GB"/>
                <w:b w:val="0"/>
                <w:color w:val="C92A2A"/>
                <w:sz w:val="16"/>
              </w:rPr>
              <w:t>风险事件继续高于支持事件，且最新证据没有修复。</w:t>
            </w:r>
          </w:p>
        </w:tc>
      </w:tr>
      <w:tr>
        <w:trPr>
          <w:cantSplit/>
        </w:trPr>
        <w:tc>
          <w:tcPr>
            <w:tcW w:type="dxa" w:w="850"/>
            <w:tcMar>
              <w:top w:w="80" w:type="dxa"/>
              <w:bottom w:w="80" w:type="dxa"/>
              <w:start w:w="120" w:type="dxa"/>
              <w:end w:w="120" w:type="dxa"/>
            </w:tcMar>
            <w:vAlign w:val="top"/>
          </w:tcPr>
          <w:p>
            <w:pPr>
              <w:spacing w:before="0" w:after="0" w:line="252" w:lineRule="auto"/>
            </w:pPr>
            <w:r>
              <w:rPr>
                <w:rFonts w:ascii="Calibri" w:hAnsi="Calibri" w:eastAsia="Hiragino Sans GB"/>
                <w:b/>
                <w:color w:val="1D5FD1"/>
                <w:sz w:val="17"/>
              </w:rPr>
              <w:t>HOLD</w:t>
            </w:r>
          </w:p>
        </w:tc>
        <w:tc>
          <w:tcPr>
            <w:tcW w:type="dxa" w:w="2050"/>
            <w:tcMar>
              <w:top w:w="80" w:type="dxa"/>
              <w:bottom w:w="80" w:type="dxa"/>
              <w:start w:w="120" w:type="dxa"/>
              <w:end w:w="120" w:type="dxa"/>
            </w:tcMar>
            <w:vAlign w:val="top"/>
          </w:tcPr>
          <w:p>
            <w:pPr>
              <w:spacing w:after="40"/>
            </w:pPr>
            <w:hyperlink r:id="rId17">
              <w:r>
                <w:rPr>
                  <w:color w:val="1D5FD1"/>
                  <w:u w:val="single"/>
                  <w:b/>
                  <w:sz w:val="17"/>
                  <w:szCs w:val="17"/>
                  <w:rFonts w:ascii="Calibri" w:hAnsi="Calibri" w:eastAsia="Hiragino Sans GB"/>
                </w:rPr>
                <w:t>信创/国产 IT 栈</w:t>
              </w:r>
            </w:hyperlink>
            <w:r>
              <w:rPr>
                <w:rFonts w:ascii="Calibri" w:hAnsi="Calibri" w:eastAsia="Hiragino Sans GB"/>
                <w:color w:val="5E6268"/>
                <w:sz w:val="15"/>
              </w:rPr>
              <w:br/>
              <w:t>lane · 2026-07-14 · 91%</w:t>
            </w:r>
          </w:p>
        </w:tc>
        <w:tc>
          <w:tcPr>
            <w:tcW w:type="dxa" w:w="420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6"/>
              </w:rPr>
              <w:t>观察等待：先放入观察池，只在证据密度和价格确认同时改善时进入组合。 确认：云厂商 capex 指引是否继续上修</w:t>
            </w:r>
          </w:p>
        </w:tc>
        <w:tc>
          <w:tcPr>
            <w:tcW w:type="dxa" w:w="2260"/>
            <w:tcMar>
              <w:top w:w="80" w:type="dxa"/>
              <w:bottom w:w="80" w:type="dxa"/>
              <w:start w:w="120" w:type="dxa"/>
              <w:end w:w="120" w:type="dxa"/>
            </w:tcMar>
            <w:vAlign w:val="top"/>
          </w:tcPr>
          <w:p>
            <w:pPr>
              <w:spacing w:before="0" w:after="0" w:line="252" w:lineRule="auto"/>
            </w:pPr>
            <w:r>
              <w:rPr>
                <w:rFonts w:ascii="Calibri" w:hAnsi="Calibri" w:eastAsia="Hiragino Sans GB"/>
                <w:b w:val="0"/>
                <w:color w:val="C92A2A"/>
                <w:sz w:val="16"/>
              </w:rPr>
              <w:t>风险事件继续高于支持事件，且最新证据没有修复。</w:t>
            </w:r>
          </w:p>
        </w:tc>
      </w:tr>
    </w:tbl>
    <w:p>
      <w:pPr>
        <w:pStyle w:val="TableCitation"/>
      </w:pPr>
      <w:r>
        <w:t>基于公开研究合约的研究台操作视图，不构成投资建议；完整客观命中率与真实组合交易需要独立 Panorama App/组合账本读取。</w:t>
      </w:r>
    </w:p>
    <w:p>
      <w:pPr>
        <w:pStyle w:val="Heading1"/>
      </w:pPr>
      <w:r>
        <w:t>3. 决策解释：从证据到组合</w:t>
      </w:r>
    </w:p>
    <w:p>
      <w:pPr>
        <w:pStyle w:val="Heading2"/>
        <w:keepNext/>
      </w:pPr>
      <w:r>
        <w:t>01 · HOLD A股红利/硬科技杠铃：A 股红利与硬科技杠铃仍是政策、利率和风险偏好的组合表达</w:t>
      </w:r>
    </w:p>
    <w:p>
      <w:pPr>
        <w:keepLines/>
      </w:pPr>
      <w:r>
        <w:rPr>
          <w:rFonts w:ascii="Calibri" w:hAnsi="Calibri" w:eastAsia="Hiragino Sans GB"/>
          <w:b w:val="0"/>
          <w:color w:val="111111"/>
          <w:sz w:val="22"/>
        </w:rPr>
        <w:t>观察等待：先放入观察池，只在证据密度和价格确认同时改善时进入组合。 本周证据账本把该判断连接到 5 份公开报告；其有效性仍取决于“融资余额、ETF 申赎和北向资金是否同向”。</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1500"/>
        <w:gridCol w:w="7860"/>
      </w:tblGrid>
      <w:tr>
        <w:trPr>
          <w:cantSplit/>
        </w:trPr>
        <w:tc>
          <w:tcPr>
            <w:tcW w:type="dxa" w:w="1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7"/>
              </w:rPr>
              <w:t>组合含义</w:t>
            </w:r>
          </w:p>
        </w:tc>
        <w:tc>
          <w:tcPr>
            <w:tcW w:type="dxa" w:w="786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在 A股红利/硬科技杠铃 内优先保留证据与兑现路径清晰的标的，并按证伪条件控制暴露。</w:t>
            </w:r>
          </w:p>
        </w:tc>
      </w:tr>
      <w:tr>
        <w:trPr>
          <w:cantSplit/>
        </w:trPr>
        <w:tc>
          <w:tcPr>
            <w:tcW w:type="dxa" w:w="1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7"/>
              </w:rPr>
              <w:t>证伪条件</w:t>
            </w:r>
          </w:p>
        </w:tc>
        <w:tc>
          <w:tcPr>
            <w:tcW w:type="dxa" w:w="786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支持证据停止更新，价格或资金面先于基本面走弱。</w:t>
            </w:r>
          </w:p>
        </w:tc>
      </w:tr>
    </w:tbl>
    <w:p>
      <w:pPr>
        <w:pStyle w:val="TableCitation"/>
      </w:pPr>
      <w:r>
        <w:t>证据：</w:t>
      </w:r>
      <w:hyperlink r:id="rId18">
        <w:r>
          <w:rPr>
            <w:color w:val="1D5FD1"/>
            <w:u w:val="single"/>
            <w:sz w:val="17"/>
            <w:szCs w:val="17"/>
            <w:rFonts w:ascii="Calibri" w:hAnsi="Calibri" w:eastAsia="Hiragino Sans GB"/>
          </w:rPr>
          <w:t>R1</w:t>
        </w:r>
      </w:hyperlink>
      <w:r>
        <w:t xml:space="preserve"> · </w:t>
      </w:r>
      <w:hyperlink r:id="rId19">
        <w:r>
          <w:rPr>
            <w:color w:val="1D5FD1"/>
            <w:u w:val="single"/>
            <w:sz w:val="17"/>
            <w:szCs w:val="17"/>
            <w:rFonts w:ascii="Calibri" w:hAnsi="Calibri" w:eastAsia="Hiragino Sans GB"/>
          </w:rPr>
          <w:t>R2</w:t>
        </w:r>
      </w:hyperlink>
      <w:r>
        <w:t xml:space="preserve"> · </w:t>
      </w:r>
      <w:hyperlink r:id="rId20">
        <w:r>
          <w:rPr>
            <w:color w:val="1D5FD1"/>
            <w:u w:val="single"/>
            <w:sz w:val="17"/>
            <w:szCs w:val="17"/>
            <w:rFonts w:ascii="Calibri" w:hAnsi="Calibri" w:eastAsia="Hiragino Sans GB"/>
          </w:rPr>
          <w:t>R3</w:t>
        </w:r>
      </w:hyperlink>
      <w:r>
        <w:t xml:space="preserve"> · </w:t>
      </w:r>
      <w:hyperlink r:id="rId21">
        <w:r>
          <w:rPr>
            <w:color w:val="1D5FD1"/>
            <w:u w:val="single"/>
            <w:sz w:val="17"/>
            <w:szCs w:val="17"/>
            <w:rFonts w:ascii="Calibri" w:hAnsi="Calibri" w:eastAsia="Hiragino Sans GB"/>
          </w:rPr>
          <w:t>对应 Thesis</w:t>
        </w:r>
      </w:hyperlink>
    </w:p>
    <w:p>
      <w:pPr>
        <w:pStyle w:val="Heading2"/>
        <w:keepNext/>
      </w:pPr>
      <w:r>
        <w:t>02 · HOLD Mag7 AI 平台再分层：Mag7 在 AI 时代从平台垄断转向基础设施再分层</w:t>
      </w:r>
    </w:p>
    <w:p>
      <w:pPr>
        <w:keepLines/>
      </w:pPr>
      <w:r>
        <w:rPr>
          <w:rFonts w:ascii="Calibri" w:hAnsi="Calibri" w:eastAsia="Hiragino Sans GB"/>
          <w:b w:val="0"/>
          <w:color w:val="111111"/>
          <w:sz w:val="22"/>
        </w:rPr>
        <w:t>观察等待：先放入观察池，只在证据密度和价格确认同时改善时进入组合。 本周证据账本把该判断连接到 5 份公开报告；其有效性仍取决于“云厂商 capex 指引是否继续上修”。</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1500"/>
        <w:gridCol w:w="7860"/>
      </w:tblGrid>
      <w:tr>
        <w:trPr>
          <w:cantSplit/>
        </w:trPr>
        <w:tc>
          <w:tcPr>
            <w:tcW w:type="dxa" w:w="1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7"/>
              </w:rPr>
              <w:t>组合含义</w:t>
            </w:r>
          </w:p>
        </w:tc>
        <w:tc>
          <w:tcPr>
            <w:tcW w:type="dxa" w:w="786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在 Mag7 AI 平台再分层 内优先保留证据与兑现路径清晰的标的，并按证伪条件控制暴露。</w:t>
            </w:r>
          </w:p>
        </w:tc>
      </w:tr>
      <w:tr>
        <w:trPr>
          <w:cantSplit/>
        </w:trPr>
        <w:tc>
          <w:tcPr>
            <w:tcW w:type="dxa" w:w="1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7"/>
              </w:rPr>
              <w:t>证伪条件</w:t>
            </w:r>
          </w:p>
        </w:tc>
        <w:tc>
          <w:tcPr>
            <w:tcW w:type="dxa" w:w="786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风险事件继续高于支持事件，且最新证据没有修复。</w:t>
            </w:r>
          </w:p>
        </w:tc>
      </w:tr>
    </w:tbl>
    <w:p>
      <w:pPr>
        <w:pStyle w:val="TableCitation"/>
      </w:pPr>
      <w:r>
        <w:t>证据：</w:t>
      </w:r>
      <w:hyperlink r:id="rId22">
        <w:r>
          <w:rPr>
            <w:color w:val="1D5FD1"/>
            <w:u w:val="single"/>
            <w:sz w:val="17"/>
            <w:szCs w:val="17"/>
            <w:rFonts w:ascii="Calibri" w:hAnsi="Calibri" w:eastAsia="Hiragino Sans GB"/>
          </w:rPr>
          <w:t>R1</w:t>
        </w:r>
      </w:hyperlink>
      <w:r>
        <w:t xml:space="preserve"> · </w:t>
      </w:r>
      <w:hyperlink r:id="rId18">
        <w:r>
          <w:rPr>
            <w:color w:val="1D5FD1"/>
            <w:u w:val="single"/>
            <w:sz w:val="17"/>
            <w:szCs w:val="17"/>
            <w:rFonts w:ascii="Calibri" w:hAnsi="Calibri" w:eastAsia="Hiragino Sans GB"/>
          </w:rPr>
          <w:t>R2</w:t>
        </w:r>
      </w:hyperlink>
      <w:r>
        <w:t xml:space="preserve"> · </w:t>
      </w:r>
      <w:hyperlink r:id="rId23">
        <w:r>
          <w:rPr>
            <w:color w:val="1D5FD1"/>
            <w:u w:val="single"/>
            <w:sz w:val="17"/>
            <w:szCs w:val="17"/>
            <w:rFonts w:ascii="Calibri" w:hAnsi="Calibri" w:eastAsia="Hiragino Sans GB"/>
          </w:rPr>
          <w:t>R3</w:t>
        </w:r>
      </w:hyperlink>
      <w:r>
        <w:t xml:space="preserve"> · </w:t>
      </w:r>
      <w:hyperlink r:id="rId24">
        <w:r>
          <w:rPr>
            <w:color w:val="1D5FD1"/>
            <w:u w:val="single"/>
            <w:sz w:val="17"/>
            <w:szCs w:val="17"/>
            <w:rFonts w:ascii="Calibri" w:hAnsi="Calibri" w:eastAsia="Hiragino Sans GB"/>
          </w:rPr>
          <w:t>对应 Thesis</w:t>
        </w:r>
      </w:hyperlink>
    </w:p>
    <w:p>
      <w:pPr>
        <w:pStyle w:val="Heading2"/>
        <w:keepNext/>
      </w:pPr>
      <w:r>
        <w:t>03 · HOLD 酒店餐饮休闲/服务消费：酒店餐饮休闲复苏正在从客流修复转向 RevPAR、翻台率与小盘 Alpha</w:t>
      </w:r>
    </w:p>
    <w:p>
      <w:pPr>
        <w:keepLines/>
      </w:pPr>
      <w:r>
        <w:rPr>
          <w:rFonts w:ascii="Calibri" w:hAnsi="Calibri" w:eastAsia="Hiragino Sans GB"/>
          <w:b w:val="0"/>
          <w:color w:val="111111"/>
          <w:sz w:val="22"/>
        </w:rPr>
        <w:t>分歧主线：配对验证：这是有投资含义但证据分歧很高的主线，更适合配对验证、分批试错和严格证伪。 本周证据账本把该判断连接到 5 份公开报告；其有效性仍取决于“价格弹性是否转化为利润率修复”。</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1500"/>
        <w:gridCol w:w="7860"/>
      </w:tblGrid>
      <w:tr>
        <w:trPr>
          <w:cantSplit/>
        </w:trPr>
        <w:tc>
          <w:tcPr>
            <w:tcW w:type="dxa" w:w="1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7"/>
              </w:rPr>
              <w:t>组合含义</w:t>
            </w:r>
          </w:p>
        </w:tc>
        <w:tc>
          <w:tcPr>
            <w:tcW w:type="dxa" w:w="786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在 酒店餐饮休闲/服务消费 内优先保留证据与兑现路径清晰的标的，并按证伪条件控制暴露。</w:t>
            </w:r>
          </w:p>
        </w:tc>
      </w:tr>
      <w:tr>
        <w:trPr>
          <w:cantSplit/>
        </w:trPr>
        <w:tc>
          <w:tcPr>
            <w:tcW w:type="dxa" w:w="1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7"/>
              </w:rPr>
              <w:t>证伪条件</w:t>
            </w:r>
          </w:p>
        </w:tc>
        <w:tc>
          <w:tcPr>
            <w:tcW w:type="dxa" w:w="786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风险事件继续高于支持事件，且最新证据没有修复。</w:t>
            </w:r>
          </w:p>
        </w:tc>
      </w:tr>
    </w:tbl>
    <w:p>
      <w:pPr>
        <w:pStyle w:val="TableCitation"/>
      </w:pPr>
      <w:r>
        <w:t>证据：</w:t>
      </w:r>
      <w:hyperlink r:id="rId25">
        <w:r>
          <w:rPr>
            <w:color w:val="1D5FD1"/>
            <w:u w:val="single"/>
            <w:sz w:val="17"/>
            <w:szCs w:val="17"/>
            <w:rFonts w:ascii="Calibri" w:hAnsi="Calibri" w:eastAsia="Hiragino Sans GB"/>
          </w:rPr>
          <w:t>R1</w:t>
        </w:r>
      </w:hyperlink>
      <w:r>
        <w:t xml:space="preserve"> · </w:t>
      </w:r>
      <w:hyperlink r:id="rId26">
        <w:r>
          <w:rPr>
            <w:color w:val="1D5FD1"/>
            <w:u w:val="single"/>
            <w:sz w:val="17"/>
            <w:szCs w:val="17"/>
            <w:rFonts w:ascii="Calibri" w:hAnsi="Calibri" w:eastAsia="Hiragino Sans GB"/>
          </w:rPr>
          <w:t>R2</w:t>
        </w:r>
      </w:hyperlink>
      <w:r>
        <w:t xml:space="preserve"> · </w:t>
      </w:r>
      <w:hyperlink r:id="rId27">
        <w:r>
          <w:rPr>
            <w:color w:val="1D5FD1"/>
            <w:u w:val="single"/>
            <w:sz w:val="17"/>
            <w:szCs w:val="17"/>
            <w:rFonts w:ascii="Calibri" w:hAnsi="Calibri" w:eastAsia="Hiragino Sans GB"/>
          </w:rPr>
          <w:t>R3</w:t>
        </w:r>
      </w:hyperlink>
      <w:r>
        <w:t xml:space="preserve"> · </w:t>
      </w:r>
      <w:hyperlink r:id="rId28">
        <w:r>
          <w:rPr>
            <w:color w:val="1D5FD1"/>
            <w:u w:val="single"/>
            <w:sz w:val="17"/>
            <w:szCs w:val="17"/>
            <w:rFonts w:ascii="Calibri" w:hAnsi="Calibri" w:eastAsia="Hiragino Sans GB"/>
          </w:rPr>
          <w:t>对应 Thesis</w:t>
        </w:r>
      </w:hyperlink>
    </w:p>
    <w:p>
      <w:pPr>
        <w:pStyle w:val="Heading2"/>
        <w:keepNext/>
      </w:pPr>
      <w:r>
        <w:t>04 · HOLD AI 再通胀/利率敏感资产：AI 资本开支通过能源、设备和利率进入通胀定价</w:t>
      </w:r>
    </w:p>
    <w:p>
      <w:pPr>
        <w:keepLines/>
      </w:pPr>
      <w:r>
        <w:rPr>
          <w:rFonts w:ascii="Calibri" w:hAnsi="Calibri" w:eastAsia="Hiragino Sans GB"/>
          <w:b w:val="0"/>
          <w:color w:val="111111"/>
          <w:sz w:val="22"/>
        </w:rPr>
        <w:t>观察等待：先放入观察池，只在证据密度和价格确认同时改善时进入组合。 本周证据账本把该判断连接到 3 份公开报告；其有效性仍取决于“CPI/PCE 与油价是否重新推高实际利率”。</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1500"/>
        <w:gridCol w:w="7860"/>
      </w:tblGrid>
      <w:tr>
        <w:trPr>
          <w:cantSplit/>
        </w:trPr>
        <w:tc>
          <w:tcPr>
            <w:tcW w:type="dxa" w:w="1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7"/>
              </w:rPr>
              <w:t>组合含义</w:t>
            </w:r>
          </w:p>
        </w:tc>
        <w:tc>
          <w:tcPr>
            <w:tcW w:type="dxa" w:w="786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在 AI 再通胀/利率敏感资产 内优先保留证据与兑现路径清晰的标的，并按证伪条件控制暴露。</w:t>
            </w:r>
          </w:p>
        </w:tc>
      </w:tr>
      <w:tr>
        <w:trPr>
          <w:cantSplit/>
        </w:trPr>
        <w:tc>
          <w:tcPr>
            <w:tcW w:type="dxa" w:w="1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7"/>
              </w:rPr>
              <w:t>证伪条件</w:t>
            </w:r>
          </w:p>
        </w:tc>
        <w:tc>
          <w:tcPr>
            <w:tcW w:type="dxa" w:w="786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风险事件继续高于支持事件，且最新证据没有修复。</w:t>
            </w:r>
          </w:p>
        </w:tc>
      </w:tr>
    </w:tbl>
    <w:p>
      <w:pPr>
        <w:pStyle w:val="TableCitation"/>
      </w:pPr>
      <w:r>
        <w:t>证据：</w:t>
      </w:r>
      <w:hyperlink r:id="rId29">
        <w:r>
          <w:rPr>
            <w:color w:val="1D5FD1"/>
            <w:u w:val="single"/>
            <w:sz w:val="17"/>
            <w:szCs w:val="17"/>
            <w:rFonts w:ascii="Calibri" w:hAnsi="Calibri" w:eastAsia="Hiragino Sans GB"/>
          </w:rPr>
          <w:t>R1</w:t>
        </w:r>
      </w:hyperlink>
      <w:r>
        <w:t xml:space="preserve"> · </w:t>
      </w:r>
      <w:hyperlink r:id="rId30">
        <w:r>
          <w:rPr>
            <w:color w:val="1D5FD1"/>
            <w:u w:val="single"/>
            <w:sz w:val="17"/>
            <w:szCs w:val="17"/>
            <w:rFonts w:ascii="Calibri" w:hAnsi="Calibri" w:eastAsia="Hiragino Sans GB"/>
          </w:rPr>
          <w:t>R2</w:t>
        </w:r>
      </w:hyperlink>
      <w:r>
        <w:t xml:space="preserve"> · </w:t>
      </w:r>
      <w:hyperlink r:id="rId31">
        <w:r>
          <w:rPr>
            <w:color w:val="1D5FD1"/>
            <w:u w:val="single"/>
            <w:sz w:val="17"/>
            <w:szCs w:val="17"/>
            <w:rFonts w:ascii="Calibri" w:hAnsi="Calibri" w:eastAsia="Hiragino Sans GB"/>
          </w:rPr>
          <w:t>R3</w:t>
        </w:r>
      </w:hyperlink>
      <w:r>
        <w:t xml:space="preserve"> · </w:t>
      </w:r>
      <w:hyperlink r:id="rId32">
        <w:r>
          <w:rPr>
            <w:color w:val="1D5FD1"/>
            <w:u w:val="single"/>
            <w:sz w:val="17"/>
            <w:szCs w:val="17"/>
            <w:rFonts w:ascii="Calibri" w:hAnsi="Calibri" w:eastAsia="Hiragino Sans GB"/>
          </w:rPr>
          <w:t>对应 Thesis</w:t>
        </w:r>
      </w:hyperlink>
    </w:p>
    <w:p>
      <w:pPr>
        <w:pStyle w:val="Heading2"/>
        <w:keepNext/>
      </w:pPr>
      <w:r>
        <w:t>05 · HOLD AI 软件效率/生产率：AI 生产率去通胀需要等待采用率和流程重构验证</w:t>
      </w:r>
    </w:p>
    <w:p>
      <w:pPr>
        <w:keepLines/>
      </w:pPr>
      <w:r>
        <w:rPr>
          <w:rFonts w:ascii="Calibri" w:hAnsi="Calibri" w:eastAsia="Hiragino Sans GB"/>
          <w:b w:val="0"/>
          <w:color w:val="111111"/>
          <w:sz w:val="22"/>
        </w:rPr>
        <w:t>观察等待：先放入观察池，只在证据密度和价格确认同时改善时进入组合。 本周证据账本把该判断连接到 5 份公开报告；其有效性仍取决于“CPI/PCE 与油价是否重新推高实际利率”。</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1500"/>
        <w:gridCol w:w="7860"/>
      </w:tblGrid>
      <w:tr>
        <w:trPr>
          <w:cantSplit/>
        </w:trPr>
        <w:tc>
          <w:tcPr>
            <w:tcW w:type="dxa" w:w="1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7"/>
              </w:rPr>
              <w:t>组合含义</w:t>
            </w:r>
          </w:p>
        </w:tc>
        <w:tc>
          <w:tcPr>
            <w:tcW w:type="dxa" w:w="786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在 AI 软件效率/生产率 内优先保留证据与兑现路径清晰的标的，并按证伪条件控制暴露。</w:t>
            </w:r>
          </w:p>
        </w:tc>
      </w:tr>
      <w:tr>
        <w:trPr>
          <w:cantSplit/>
        </w:trPr>
        <w:tc>
          <w:tcPr>
            <w:tcW w:type="dxa" w:w="1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7"/>
              </w:rPr>
              <w:t>证伪条件</w:t>
            </w:r>
          </w:p>
        </w:tc>
        <w:tc>
          <w:tcPr>
            <w:tcW w:type="dxa" w:w="786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风险事件继续高于支持事件，且最新证据没有修复。</w:t>
            </w:r>
          </w:p>
        </w:tc>
      </w:tr>
    </w:tbl>
    <w:p>
      <w:pPr>
        <w:pStyle w:val="TableCitation"/>
      </w:pPr>
      <w:r>
        <w:t>证据：</w:t>
      </w:r>
      <w:hyperlink r:id="rId22">
        <w:r>
          <w:rPr>
            <w:color w:val="1D5FD1"/>
            <w:u w:val="single"/>
            <w:sz w:val="17"/>
            <w:szCs w:val="17"/>
            <w:rFonts w:ascii="Calibri" w:hAnsi="Calibri" w:eastAsia="Hiragino Sans GB"/>
          </w:rPr>
          <w:t>R1</w:t>
        </w:r>
      </w:hyperlink>
      <w:r>
        <w:t xml:space="preserve"> · </w:t>
      </w:r>
      <w:hyperlink r:id="rId18">
        <w:r>
          <w:rPr>
            <w:color w:val="1D5FD1"/>
            <w:u w:val="single"/>
            <w:sz w:val="17"/>
            <w:szCs w:val="17"/>
            <w:rFonts w:ascii="Calibri" w:hAnsi="Calibri" w:eastAsia="Hiragino Sans GB"/>
          </w:rPr>
          <w:t>R2</w:t>
        </w:r>
      </w:hyperlink>
      <w:r>
        <w:t xml:space="preserve"> · </w:t>
      </w:r>
      <w:hyperlink r:id="rId23">
        <w:r>
          <w:rPr>
            <w:color w:val="1D5FD1"/>
            <w:u w:val="single"/>
            <w:sz w:val="17"/>
            <w:szCs w:val="17"/>
            <w:rFonts w:ascii="Calibri" w:hAnsi="Calibri" w:eastAsia="Hiragino Sans GB"/>
          </w:rPr>
          <w:t>R3</w:t>
        </w:r>
      </w:hyperlink>
      <w:r>
        <w:t xml:space="preserve"> · </w:t>
      </w:r>
      <w:hyperlink r:id="rId33">
        <w:r>
          <w:rPr>
            <w:color w:val="1D5FD1"/>
            <w:u w:val="single"/>
            <w:sz w:val="17"/>
            <w:szCs w:val="17"/>
            <w:rFonts w:ascii="Calibri" w:hAnsi="Calibri" w:eastAsia="Hiragino Sans GB"/>
          </w:rPr>
          <w:t>对应 Thesis</w:t>
        </w:r>
      </w:hyperlink>
    </w:p>
    <w:p>
      <w:pPr>
        <w:pStyle w:val="Heading2"/>
        <w:keepNext/>
      </w:pPr>
      <w:r>
        <w:t>06 · HOLD 信创/国产 IT 栈：新一代信息技术国产替代要从信创叙事进入算力、软件与安全订单验证</w:t>
      </w:r>
    </w:p>
    <w:p>
      <w:pPr>
        <w:keepLines/>
      </w:pPr>
      <w:r>
        <w:rPr>
          <w:rFonts w:ascii="Calibri" w:hAnsi="Calibri" w:eastAsia="Hiragino Sans GB"/>
          <w:b w:val="0"/>
          <w:color w:val="111111"/>
          <w:sz w:val="22"/>
        </w:rPr>
        <w:t>观察等待：先放入观察池，只在证据密度和价格确认同时改善时进入组合。 本周证据账本把该判断连接到 5 份公开报告；其有效性仍取决于“云厂商 capex 指引是否继续上修”。</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1500"/>
        <w:gridCol w:w="7860"/>
      </w:tblGrid>
      <w:tr>
        <w:trPr>
          <w:cantSplit/>
        </w:trPr>
        <w:tc>
          <w:tcPr>
            <w:tcW w:type="dxa" w:w="1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7"/>
              </w:rPr>
              <w:t>组合含义</w:t>
            </w:r>
          </w:p>
        </w:tc>
        <w:tc>
          <w:tcPr>
            <w:tcW w:type="dxa" w:w="786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在 信创/国产 IT 栈 内优先保留证据与兑现路径清晰的标的，并按证伪条件控制暴露。</w:t>
            </w:r>
          </w:p>
        </w:tc>
      </w:tr>
      <w:tr>
        <w:trPr>
          <w:cantSplit/>
        </w:trPr>
        <w:tc>
          <w:tcPr>
            <w:tcW w:type="dxa" w:w="1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7"/>
              </w:rPr>
              <w:t>证伪条件</w:t>
            </w:r>
          </w:p>
        </w:tc>
        <w:tc>
          <w:tcPr>
            <w:tcW w:type="dxa" w:w="786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风险事件继续高于支持事件，且最新证据没有修复。</w:t>
            </w:r>
          </w:p>
        </w:tc>
      </w:tr>
    </w:tbl>
    <w:p>
      <w:pPr>
        <w:pStyle w:val="TableCitation"/>
      </w:pPr>
      <w:r>
        <w:t>证据：</w:t>
      </w:r>
      <w:hyperlink r:id="rId34">
        <w:r>
          <w:rPr>
            <w:color w:val="1D5FD1"/>
            <w:u w:val="single"/>
            <w:sz w:val="17"/>
            <w:szCs w:val="17"/>
            <w:rFonts w:ascii="Calibri" w:hAnsi="Calibri" w:eastAsia="Hiragino Sans GB"/>
          </w:rPr>
          <w:t>R1</w:t>
        </w:r>
      </w:hyperlink>
      <w:r>
        <w:t xml:space="preserve"> · </w:t>
      </w:r>
      <w:hyperlink r:id="rId20">
        <w:r>
          <w:rPr>
            <w:color w:val="1D5FD1"/>
            <w:u w:val="single"/>
            <w:sz w:val="17"/>
            <w:szCs w:val="17"/>
            <w:rFonts w:ascii="Calibri" w:hAnsi="Calibri" w:eastAsia="Hiragino Sans GB"/>
          </w:rPr>
          <w:t>R2</w:t>
        </w:r>
      </w:hyperlink>
      <w:r>
        <w:t xml:space="preserve"> · </w:t>
      </w:r>
      <w:hyperlink r:id="rId35">
        <w:r>
          <w:rPr>
            <w:color w:val="1D5FD1"/>
            <w:u w:val="single"/>
            <w:sz w:val="17"/>
            <w:szCs w:val="17"/>
            <w:rFonts w:ascii="Calibri" w:hAnsi="Calibri" w:eastAsia="Hiragino Sans GB"/>
          </w:rPr>
          <w:t>R3</w:t>
        </w:r>
      </w:hyperlink>
      <w:r>
        <w:t xml:space="preserve"> · </w:t>
      </w:r>
      <w:hyperlink r:id="rId36">
        <w:r>
          <w:rPr>
            <w:color w:val="1D5FD1"/>
            <w:u w:val="single"/>
            <w:sz w:val="17"/>
            <w:szCs w:val="17"/>
            <w:rFonts w:ascii="Calibri" w:hAnsi="Calibri" w:eastAsia="Hiragino Sans GB"/>
          </w:rPr>
          <w:t>对应 Thesis</w:t>
        </w:r>
      </w:hyperlink>
    </w:p>
    <w:p>
      <w:pPr>
        <w:pStyle w:val="Heading1"/>
      </w:pPr>
      <w:r>
        <w:t>4. 本周真正改变了什么</w:t>
      </w:r>
    </w:p>
    <w:p>
      <w:pPr>
        <w:keepNext/>
      </w:pPr>
      <w:r>
        <w:rPr>
          <w:rFonts w:ascii="Calibri" w:hAnsi="Calibri" w:eastAsia="Hiragino Sans GB"/>
          <w:b/>
          <w:color w:val="D85B16"/>
          <w:sz w:val="18"/>
        </w:rPr>
        <w:t xml:space="preserve">01  WEAKENED  </w:t>
      </w:r>
      <w:r>
        <w:rPr>
          <w:rFonts w:ascii="Calibri" w:hAnsi="Calibri" w:eastAsia="Hiragino Sans GB"/>
          <w:b/>
          <w:color w:val="111111"/>
          <w:sz w:val="22"/>
        </w:rPr>
        <w:t>主线进一步集中到 A股红利/硬科技杠铃</w:t>
      </w:r>
    </w:p>
    <w:p>
      <w:pPr>
        <w:keepLines w:val="0"/>
      </w:pPr>
      <w:r>
        <w:rPr>
          <w:rFonts w:ascii="Calibri" w:hAnsi="Calibri" w:eastAsia="Hiragino Sans GB"/>
          <w:b w:val="0"/>
          <w:color w:val="111111"/>
          <w:sz w:val="22"/>
        </w:rPr>
        <w:t>赛道：A股红利/硬科技杠铃。候选观察标的：510880.SH, 601398.SH, 600900.SH, 601088.SH, 600941.SH, 588000.SH, 688981.SH。当前共有 40 条证据、2 位分析师和 5 条风险信号指向该判断；主导链条为 宏观通胀传导。该主题应作为可跟踪投资假设，而不是孤立结论。 本周新增 8 条主线事件，其中支持 2 条、风险 6 条；当前组合含义是 先放入观察池，只在证据密度和价格确认同时改善时进入组合。</w:t>
      </w:r>
    </w:p>
    <w:p>
      <w:pPr>
        <w:pStyle w:val="TableCitation"/>
      </w:pPr>
      <w:r>
        <w:t>关联标的：</w:t>
      </w:r>
      <w:hyperlink r:id="rId37">
        <w:r>
          <w:rPr>
            <w:color w:val="1D5FD1"/>
            <w:u w:val="single"/>
            <w:sz w:val="17"/>
            <w:szCs w:val="17"/>
            <w:rFonts w:ascii="Calibri" w:hAnsi="Calibri" w:eastAsia="Hiragino Sans GB"/>
          </w:rPr>
          <w:t>600900.SH</w:t>
        </w:r>
      </w:hyperlink>
      <w:r>
        <w:t xml:space="preserve"> · </w:t>
      </w:r>
      <w:hyperlink r:id="rId38">
        <w:r>
          <w:rPr>
            <w:color w:val="1D5FD1"/>
            <w:u w:val="single"/>
            <w:sz w:val="17"/>
            <w:szCs w:val="17"/>
            <w:rFonts w:ascii="Calibri" w:hAnsi="Calibri" w:eastAsia="Hiragino Sans GB"/>
          </w:rPr>
          <w:t>601398.SH</w:t>
        </w:r>
      </w:hyperlink>
      <w:r>
        <w:t xml:space="preserve"> · </w:t>
      </w:r>
      <w:hyperlink r:id="rId39">
        <w:r>
          <w:rPr>
            <w:color w:val="1D5FD1"/>
            <w:u w:val="single"/>
            <w:sz w:val="17"/>
            <w:szCs w:val="17"/>
            <w:rFonts w:ascii="Calibri" w:hAnsi="Calibri" w:eastAsia="Hiragino Sans GB"/>
          </w:rPr>
          <w:t>601088.SH</w:t>
        </w:r>
      </w:hyperlink>
      <w:r>
        <w:t xml:space="preserve"> · </w:t>
      </w:r>
      <w:hyperlink r:id="rId40">
        <w:r>
          <w:rPr>
            <w:color w:val="1D5FD1"/>
            <w:u w:val="single"/>
            <w:sz w:val="17"/>
            <w:szCs w:val="17"/>
            <w:rFonts w:ascii="Calibri" w:hAnsi="Calibri" w:eastAsia="Hiragino Sans GB"/>
          </w:rPr>
          <w:t>688981.SH</w:t>
        </w:r>
      </w:hyperlink>
      <w:r>
        <w:t xml:space="preserve"> · </w:t>
      </w:r>
      <w:hyperlink r:id="rId41">
        <w:r>
          <w:rPr>
            <w:color w:val="1D5FD1"/>
            <w:u w:val="single"/>
            <w:sz w:val="17"/>
            <w:szCs w:val="17"/>
            <w:rFonts w:ascii="Calibri" w:hAnsi="Calibri" w:eastAsia="Hiragino Sans GB"/>
          </w:rPr>
          <w:t>588000.SH</w:t>
        </w:r>
      </w:hyperlink>
      <w:r>
        <w:t xml:space="preserve"> · </w:t>
      </w:r>
      <w:hyperlink r:id="rId42">
        <w:r>
          <w:rPr>
            <w:color w:val="1D5FD1"/>
            <w:u w:val="single"/>
            <w:sz w:val="17"/>
            <w:szCs w:val="17"/>
            <w:rFonts w:ascii="Calibri" w:hAnsi="Calibri" w:eastAsia="Hiragino Sans GB"/>
          </w:rPr>
          <w:t>600941.SH</w:t>
        </w:r>
      </w:hyperlink>
    </w:p>
    <w:p>
      <w:pPr>
        <w:keepNext/>
      </w:pPr>
      <w:r>
        <w:rPr>
          <w:rFonts w:ascii="Calibri" w:hAnsi="Calibri" w:eastAsia="Hiragino Sans GB"/>
          <w:b/>
          <w:color w:val="D85B16"/>
          <w:sz w:val="18"/>
        </w:rPr>
        <w:t xml:space="preserve">02  SPLIT  </w:t>
      </w:r>
      <w:r>
        <w:rPr>
          <w:rFonts w:ascii="Calibri" w:hAnsi="Calibri" w:eastAsia="Hiragino Sans GB"/>
          <w:b/>
          <w:color w:val="111111"/>
          <w:sz w:val="22"/>
        </w:rPr>
        <w:t>Mag7 在 AI 时代从平台垄断转向基础设施再分层 的本周证据更新</w:t>
      </w:r>
    </w:p>
    <w:p>
      <w:pPr>
        <w:keepLines w:val="0"/>
      </w:pPr>
      <w:r>
        <w:rPr>
          <w:rFonts w:ascii="Calibri" w:hAnsi="Calibri" w:eastAsia="Hiragino Sans GB"/>
          <w:b w:val="0"/>
          <w:color w:val="111111"/>
          <w:sz w:val="22"/>
        </w:rPr>
        <w:t>赛道：Mag7 AI 平台再分层。候选观察标的：MSFT, AAPL, TSLA, META, AMZN, GOOGL, NVDA。当前共有 40 条证据、5 位分析师和 8 条风险信号指向该判断；主导链条为 AI 基础设施。该主题应作为可跟踪投资假设，而不是孤立结论。 本周新增 8 条主线事件，其中支持 6 条、风险 2 条；当前组合含义是 先放入观察池，只在证据密度和价格确认同时改善时进入组合。</w:t>
      </w:r>
    </w:p>
    <w:p>
      <w:pPr>
        <w:pStyle w:val="TableCitation"/>
      </w:pPr>
      <w:r>
        <w:t>关联标的：</w:t>
      </w:r>
      <w:hyperlink r:id="rId43">
        <w:r>
          <w:rPr>
            <w:color w:val="1D5FD1"/>
            <w:u w:val="single"/>
            <w:sz w:val="17"/>
            <w:szCs w:val="17"/>
            <w:rFonts w:ascii="Calibri" w:hAnsi="Calibri" w:eastAsia="Hiragino Sans GB"/>
          </w:rPr>
          <w:t>META</w:t>
        </w:r>
      </w:hyperlink>
      <w:r>
        <w:t xml:space="preserve"> · </w:t>
      </w:r>
      <w:hyperlink r:id="rId44">
        <w:r>
          <w:rPr>
            <w:color w:val="1D5FD1"/>
            <w:u w:val="single"/>
            <w:sz w:val="17"/>
            <w:szCs w:val="17"/>
            <w:rFonts w:ascii="Calibri" w:hAnsi="Calibri" w:eastAsia="Hiragino Sans GB"/>
          </w:rPr>
          <w:t>MSFT</w:t>
        </w:r>
      </w:hyperlink>
      <w:r>
        <w:t xml:space="preserve"> · </w:t>
      </w:r>
      <w:hyperlink r:id="rId45">
        <w:r>
          <w:rPr>
            <w:color w:val="1D5FD1"/>
            <w:u w:val="single"/>
            <w:sz w:val="17"/>
            <w:szCs w:val="17"/>
            <w:rFonts w:ascii="Calibri" w:hAnsi="Calibri" w:eastAsia="Hiragino Sans GB"/>
          </w:rPr>
          <w:t>NVDA</w:t>
        </w:r>
      </w:hyperlink>
      <w:r>
        <w:t xml:space="preserve"> · </w:t>
      </w:r>
      <w:hyperlink r:id="rId46">
        <w:r>
          <w:rPr>
            <w:color w:val="1D5FD1"/>
            <w:u w:val="single"/>
            <w:sz w:val="17"/>
            <w:szCs w:val="17"/>
            <w:rFonts w:ascii="Calibri" w:hAnsi="Calibri" w:eastAsia="Hiragino Sans GB"/>
          </w:rPr>
          <w:t>AMZN</w:t>
        </w:r>
      </w:hyperlink>
      <w:r>
        <w:t xml:space="preserve"> · </w:t>
      </w:r>
      <w:hyperlink r:id="rId47">
        <w:r>
          <w:rPr>
            <w:color w:val="1D5FD1"/>
            <w:u w:val="single"/>
            <w:sz w:val="17"/>
            <w:szCs w:val="17"/>
            <w:rFonts w:ascii="Calibri" w:hAnsi="Calibri" w:eastAsia="Hiragino Sans GB"/>
          </w:rPr>
          <w:t>GOOGL</w:t>
        </w:r>
      </w:hyperlink>
      <w:r>
        <w:t xml:space="preserve"> · </w:t>
      </w:r>
      <w:hyperlink r:id="rId48">
        <w:r>
          <w:rPr>
            <w:color w:val="1D5FD1"/>
            <w:u w:val="single"/>
            <w:sz w:val="17"/>
            <w:szCs w:val="17"/>
            <w:rFonts w:ascii="Calibri" w:hAnsi="Calibri" w:eastAsia="Hiragino Sans GB"/>
          </w:rPr>
          <w:t>TSM</w:t>
        </w:r>
      </w:hyperlink>
    </w:p>
    <w:p>
      <w:pPr>
        <w:keepNext/>
      </w:pPr>
      <w:r>
        <w:rPr>
          <w:rFonts w:ascii="Calibri" w:hAnsi="Calibri" w:eastAsia="Hiragino Sans GB"/>
          <w:b/>
          <w:color w:val="D85B16"/>
          <w:sz w:val="18"/>
        </w:rPr>
        <w:t xml:space="preserve">03  SPLIT  </w:t>
      </w:r>
      <w:r>
        <w:rPr>
          <w:rFonts w:ascii="Calibri" w:hAnsi="Calibri" w:eastAsia="Hiragino Sans GB"/>
          <w:b/>
          <w:color w:val="111111"/>
          <w:sz w:val="22"/>
        </w:rPr>
        <w:t>酒店餐饮休闲复苏正在从客流修复转向 RevPAR、翻台率与小盘 Alpha 的本周证据更新</w:t>
      </w:r>
    </w:p>
    <w:p>
      <w:pPr>
        <w:keepLines w:val="0"/>
      </w:pPr>
      <w:r>
        <w:rPr>
          <w:rFonts w:ascii="Calibri" w:hAnsi="Calibri" w:eastAsia="Hiragino Sans GB"/>
          <w:b w:val="0"/>
          <w:color w:val="111111"/>
          <w:sz w:val="22"/>
        </w:rPr>
        <w:t>赛道：酒店餐饮休闲/服务消费。候选观察标的：1179.HK, 9961.HK, 3690.HK, YUMC, MAR, BKNG, SBUX。当前共有 40 条证据、2 位分析师和 2 条风险信号指向该判断；主导链条为 宏观通胀传导。该主题应作为可跟踪投资假设，而不是孤立结论。 本周新增 7 条主线事件，其中支持 5 条、风险 2 条；当前组合含义是 这是有投资含义但证据分歧很高的主线，更适合配对验证、分批试错和严格证伪。</w:t>
      </w:r>
    </w:p>
    <w:p>
      <w:pPr>
        <w:pStyle w:val="TableCitation"/>
      </w:pPr>
      <w:r>
        <w:t>关联标的：</w:t>
      </w:r>
      <w:hyperlink r:id="rId49">
        <w:r>
          <w:rPr>
            <w:color w:val="1D5FD1"/>
            <w:u w:val="single"/>
            <w:sz w:val="17"/>
            <w:szCs w:val="17"/>
            <w:rFonts w:ascii="Calibri" w:hAnsi="Calibri" w:eastAsia="Hiragino Sans GB"/>
          </w:rPr>
          <w:t>001215.SZ</w:t>
        </w:r>
      </w:hyperlink>
      <w:r>
        <w:t xml:space="preserve"> · </w:t>
      </w:r>
      <w:hyperlink r:id="rId50">
        <w:r>
          <w:rPr>
            <w:color w:val="1D5FD1"/>
            <w:u w:val="single"/>
            <w:sz w:val="17"/>
            <w:szCs w:val="17"/>
            <w:rFonts w:ascii="Calibri" w:hAnsi="Calibri" w:eastAsia="Hiragino Sans GB"/>
          </w:rPr>
          <w:t>9922.HK</w:t>
        </w:r>
      </w:hyperlink>
      <w:r>
        <w:t xml:space="preserve"> · </w:t>
      </w:r>
      <w:hyperlink r:id="rId51">
        <w:r>
          <w:rPr>
            <w:color w:val="1D5FD1"/>
            <w:u w:val="single"/>
            <w:sz w:val="17"/>
            <w:szCs w:val="17"/>
            <w:rFonts w:ascii="Calibri" w:hAnsi="Calibri" w:eastAsia="Hiragino Sans GB"/>
          </w:rPr>
          <w:t>3690.HK</w:t>
        </w:r>
      </w:hyperlink>
      <w:r>
        <w:t xml:space="preserve"> · </w:t>
      </w:r>
      <w:hyperlink r:id="rId52">
        <w:r>
          <w:rPr>
            <w:color w:val="1D5FD1"/>
            <w:u w:val="single"/>
            <w:sz w:val="17"/>
            <w:szCs w:val="17"/>
            <w:rFonts w:ascii="Calibri" w:hAnsi="Calibri" w:eastAsia="Hiragino Sans GB"/>
          </w:rPr>
          <w:t>YUMC</w:t>
        </w:r>
      </w:hyperlink>
      <w:r>
        <w:t xml:space="preserve"> · </w:t>
      </w:r>
      <w:hyperlink r:id="rId53">
        <w:r>
          <w:rPr>
            <w:color w:val="1D5FD1"/>
            <w:u w:val="single"/>
            <w:sz w:val="17"/>
            <w:szCs w:val="17"/>
            <w:rFonts w:ascii="Calibri" w:hAnsi="Calibri" w:eastAsia="Hiragino Sans GB"/>
          </w:rPr>
          <w:t>1179.HK</w:t>
        </w:r>
      </w:hyperlink>
      <w:r>
        <w:t xml:space="preserve"> · </w:t>
      </w:r>
      <w:hyperlink r:id="rId54">
        <w:r>
          <w:rPr>
            <w:color w:val="1D5FD1"/>
            <w:u w:val="single"/>
            <w:sz w:val="17"/>
            <w:szCs w:val="17"/>
            <w:rFonts w:ascii="Calibri" w:hAnsi="Calibri" w:eastAsia="Hiragino Sans GB"/>
          </w:rPr>
          <w:t>300144.SZ</w:t>
        </w:r>
      </w:hyperlink>
    </w:p>
    <w:p>
      <w:pPr>
        <w:keepNext/>
      </w:pPr>
      <w:r>
        <w:rPr>
          <w:rFonts w:ascii="Calibri" w:hAnsi="Calibri" w:eastAsia="Hiragino Sans GB"/>
          <w:b/>
          <w:color w:val="D85B16"/>
          <w:sz w:val="18"/>
        </w:rPr>
        <w:t xml:space="preserve">04  WEAKENED  </w:t>
      </w:r>
      <w:r>
        <w:rPr>
          <w:rFonts w:ascii="Calibri" w:hAnsi="Calibri" w:eastAsia="Hiragino Sans GB"/>
          <w:b/>
          <w:color w:val="111111"/>
          <w:sz w:val="22"/>
        </w:rPr>
        <w:t>AI 资本开支通过能源、设备和利率进入通胀定价 的本周证据更新</w:t>
      </w:r>
    </w:p>
    <w:p>
      <w:pPr>
        <w:keepLines w:val="0"/>
      </w:pPr>
      <w:r>
        <w:rPr>
          <w:rFonts w:ascii="Calibri" w:hAnsi="Calibri" w:eastAsia="Hiragino Sans GB"/>
          <w:b w:val="0"/>
          <w:color w:val="111111"/>
          <w:sz w:val="22"/>
        </w:rPr>
        <w:t>赛道：AI 再通胀/利率敏感资产。候选观察标的：XLE, XLU, TLT, GLD, JPM, NEE。当前共有 40 条证据、3 位分析师和 8 条风险信号指向该判断；主导链条为 宏观通胀传导。该主题应作为可跟踪投资假设，而不是孤立结论。 本周新增 8 条主线事件，其中支持 3 条、风险 5 条；当前组合含义是 先放入观察池，只在证据密度和价格确认同时改善时进入组合。</w:t>
      </w:r>
    </w:p>
    <w:p>
      <w:pPr>
        <w:pStyle w:val="TableCitation"/>
      </w:pPr>
      <w:r>
        <w:t>关联标的：</w:t>
      </w:r>
      <w:hyperlink r:id="rId55">
        <w:r>
          <w:rPr>
            <w:color w:val="1D5FD1"/>
            <w:u w:val="single"/>
            <w:sz w:val="17"/>
            <w:szCs w:val="17"/>
            <w:rFonts w:ascii="Calibri" w:hAnsi="Calibri" w:eastAsia="Hiragino Sans GB"/>
          </w:rPr>
          <w:t>TLT</w:t>
        </w:r>
      </w:hyperlink>
      <w:r>
        <w:t xml:space="preserve"> · </w:t>
      </w:r>
      <w:hyperlink r:id="rId43">
        <w:r>
          <w:rPr>
            <w:color w:val="1D5FD1"/>
            <w:u w:val="single"/>
            <w:sz w:val="17"/>
            <w:szCs w:val="17"/>
            <w:rFonts w:ascii="Calibri" w:hAnsi="Calibri" w:eastAsia="Hiragino Sans GB"/>
          </w:rPr>
          <w:t>META</w:t>
        </w:r>
      </w:hyperlink>
      <w:r>
        <w:t xml:space="preserve"> · </w:t>
      </w:r>
      <w:hyperlink r:id="rId56">
        <w:r>
          <w:rPr>
            <w:color w:val="1D5FD1"/>
            <w:u w:val="single"/>
            <w:sz w:val="17"/>
            <w:szCs w:val="17"/>
            <w:rFonts w:ascii="Calibri" w:hAnsi="Calibri" w:eastAsia="Hiragino Sans GB"/>
          </w:rPr>
          <w:t>GLD</w:t>
        </w:r>
      </w:hyperlink>
      <w:r>
        <w:t xml:space="preserve"> · </w:t>
      </w:r>
      <w:hyperlink r:id="rId57">
        <w:r>
          <w:rPr>
            <w:color w:val="1D5FD1"/>
            <w:u w:val="single"/>
            <w:sz w:val="17"/>
            <w:szCs w:val="17"/>
            <w:rFonts w:ascii="Calibri" w:hAnsi="Calibri" w:eastAsia="Hiragino Sans GB"/>
          </w:rPr>
          <w:t>XLU</w:t>
        </w:r>
      </w:hyperlink>
      <w:r>
        <w:t xml:space="preserve"> · </w:t>
      </w:r>
      <w:hyperlink r:id="rId45">
        <w:r>
          <w:rPr>
            <w:color w:val="1D5FD1"/>
            <w:u w:val="single"/>
            <w:sz w:val="17"/>
            <w:szCs w:val="17"/>
            <w:rFonts w:ascii="Calibri" w:hAnsi="Calibri" w:eastAsia="Hiragino Sans GB"/>
          </w:rPr>
          <w:t>NVDA</w:t>
        </w:r>
      </w:hyperlink>
      <w:r>
        <w:t xml:space="preserve"> · </w:t>
      </w:r>
      <w:hyperlink r:id="rId44">
        <w:r>
          <w:rPr>
            <w:color w:val="1D5FD1"/>
            <w:u w:val="single"/>
            <w:sz w:val="17"/>
            <w:szCs w:val="17"/>
            <w:rFonts w:ascii="Calibri" w:hAnsi="Calibri" w:eastAsia="Hiragino Sans GB"/>
          </w:rPr>
          <w:t>MSFT</w:t>
        </w:r>
      </w:hyperlink>
    </w:p>
    <w:p>
      <w:pPr>
        <w:keepNext/>
      </w:pPr>
      <w:r>
        <w:rPr>
          <w:rFonts w:ascii="Calibri" w:hAnsi="Calibri" w:eastAsia="Hiragino Sans GB"/>
          <w:b/>
          <w:color w:val="D85B16"/>
          <w:sz w:val="18"/>
        </w:rPr>
        <w:t xml:space="preserve">05  SPLIT  </w:t>
      </w:r>
      <w:r>
        <w:rPr>
          <w:rFonts w:ascii="Calibri" w:hAnsi="Calibri" w:eastAsia="Hiragino Sans GB"/>
          <w:b/>
          <w:color w:val="111111"/>
          <w:sz w:val="22"/>
        </w:rPr>
        <w:t>AI 生产率去通胀需要等待采用率和流程重构验证 的本周证据更新</w:t>
      </w:r>
    </w:p>
    <w:p>
      <w:pPr>
        <w:keepLines w:val="0"/>
      </w:pPr>
      <w:r>
        <w:rPr>
          <w:rFonts w:ascii="Calibri" w:hAnsi="Calibri" w:eastAsia="Hiragino Sans GB"/>
          <w:b w:val="0"/>
          <w:color w:val="111111"/>
          <w:sz w:val="22"/>
        </w:rPr>
        <w:t>赛道：AI 软件效率/生产率。候选观察标的：MSFT, GOOGL, META, AMZN, NOW, CRM, ADBE。当前共有 40 条证据、2 位分析师和 8 条风险信号指向该判断；主导链条为 AI 基础设施。该主题应作为可跟踪投资假设，而不是孤立结论。 本周新增 8 条主线事件，其中支持 5 条、风险 3 条；当前组合含义是 先放入观察池，只在证据密度和价格确认同时改善时进入组合。</w:t>
      </w:r>
    </w:p>
    <w:p>
      <w:pPr>
        <w:pStyle w:val="TableCitation"/>
      </w:pPr>
      <w:r>
        <w:t>关联标的：</w:t>
      </w:r>
      <w:hyperlink r:id="rId43">
        <w:r>
          <w:rPr>
            <w:color w:val="1D5FD1"/>
            <w:u w:val="single"/>
            <w:sz w:val="17"/>
            <w:szCs w:val="17"/>
            <w:rFonts w:ascii="Calibri" w:hAnsi="Calibri" w:eastAsia="Hiragino Sans GB"/>
          </w:rPr>
          <w:t>META</w:t>
        </w:r>
      </w:hyperlink>
      <w:r>
        <w:t xml:space="preserve"> · </w:t>
      </w:r>
      <w:hyperlink r:id="rId44">
        <w:r>
          <w:rPr>
            <w:color w:val="1D5FD1"/>
            <w:u w:val="single"/>
            <w:sz w:val="17"/>
            <w:szCs w:val="17"/>
            <w:rFonts w:ascii="Calibri" w:hAnsi="Calibri" w:eastAsia="Hiragino Sans GB"/>
          </w:rPr>
          <w:t>MSFT</w:t>
        </w:r>
      </w:hyperlink>
      <w:r>
        <w:t xml:space="preserve"> · </w:t>
      </w:r>
      <w:hyperlink r:id="rId46">
        <w:r>
          <w:rPr>
            <w:color w:val="1D5FD1"/>
            <w:u w:val="single"/>
            <w:sz w:val="17"/>
            <w:szCs w:val="17"/>
            <w:rFonts w:ascii="Calibri" w:hAnsi="Calibri" w:eastAsia="Hiragino Sans GB"/>
          </w:rPr>
          <w:t>AMZN</w:t>
        </w:r>
      </w:hyperlink>
      <w:r>
        <w:t xml:space="preserve"> · </w:t>
      </w:r>
      <w:hyperlink r:id="rId47">
        <w:r>
          <w:rPr>
            <w:color w:val="1D5FD1"/>
            <w:u w:val="single"/>
            <w:sz w:val="17"/>
            <w:szCs w:val="17"/>
            <w:rFonts w:ascii="Calibri" w:hAnsi="Calibri" w:eastAsia="Hiragino Sans GB"/>
          </w:rPr>
          <w:t>GOOGL</w:t>
        </w:r>
      </w:hyperlink>
      <w:r>
        <w:t xml:space="preserve"> · </w:t>
      </w:r>
      <w:hyperlink r:id="rId45">
        <w:r>
          <w:rPr>
            <w:color w:val="1D5FD1"/>
            <w:u w:val="single"/>
            <w:sz w:val="17"/>
            <w:szCs w:val="17"/>
            <w:rFonts w:ascii="Calibri" w:hAnsi="Calibri" w:eastAsia="Hiragino Sans GB"/>
          </w:rPr>
          <w:t>NVDA</w:t>
        </w:r>
      </w:hyperlink>
      <w:r>
        <w:t xml:space="preserve"> · </w:t>
      </w:r>
      <w:hyperlink r:id="rId58">
        <w:r>
          <w:rPr>
            <w:color w:val="1D5FD1"/>
            <w:u w:val="single"/>
            <w:sz w:val="17"/>
            <w:szCs w:val="17"/>
            <w:rFonts w:ascii="Calibri" w:hAnsi="Calibri" w:eastAsia="Hiragino Sans GB"/>
          </w:rPr>
          <w:t>NOW</w:t>
        </w:r>
      </w:hyperlink>
    </w:p>
    <w:p>
      <w:pPr>
        <w:pStyle w:val="Heading1"/>
      </w:pPr>
      <w:r>
        <w:t>5. 赛道配置与下一催化</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600"/>
        <w:gridCol w:w="1250"/>
        <w:gridCol w:w="2300"/>
        <w:gridCol w:w="2550"/>
        <w:gridCol w:w="2660"/>
      </w:tblGrid>
      <w:tr>
        <w:trPr>
          <w:cantSplit/>
          <w:tblHeader w:val="true"/>
        </w:trPr>
        <w:tc>
          <w:tcPr>
            <w:tcW w:type="dxa" w:w="6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5"/>
              </w:rPr>
              <w:t>RANK</w:t>
            </w:r>
          </w:p>
        </w:tc>
        <w:tc>
          <w:tcPr>
            <w:tcW w:type="dxa" w:w="12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5"/>
              </w:rPr>
              <w:t>STANCE</w:t>
            </w:r>
          </w:p>
        </w:tc>
        <w:tc>
          <w:tcPr>
            <w:tcW w:type="dxa" w:w="23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5"/>
              </w:rPr>
              <w:t>LANE</w:t>
            </w:r>
          </w:p>
        </w:tc>
        <w:tc>
          <w:tcPr>
            <w:tcW w:type="dxa" w:w="25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5"/>
              </w:rPr>
              <w:t>NEXT CATALYST</w:t>
            </w:r>
          </w:p>
        </w:tc>
        <w:tc>
          <w:tcPr>
            <w:tcW w:type="dxa" w:w="266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5"/>
              </w:rPr>
              <w:t>KEY EXPOSURES</w:t>
            </w:r>
          </w:p>
        </w:tc>
      </w:tr>
      <w:tr>
        <w:trPr>
          <w:cantSplit/>
        </w:trPr>
        <w:tc>
          <w:tcPr>
            <w:tcW w:type="dxa" w:w="600"/>
            <w:tcMar>
              <w:top w:w="80" w:type="dxa"/>
              <w:bottom w:w="80" w:type="dxa"/>
              <w:start w:w="120" w:type="dxa"/>
              <w:end w:w="120" w:type="dxa"/>
            </w:tcMar>
          </w:tcPr>
          <w:p>
            <w:pPr>
              <w:spacing w:before="0" w:after="0" w:line="252" w:lineRule="auto"/>
            </w:pPr>
            <w:r>
              <w:rPr>
                <w:rFonts w:ascii="Calibri" w:hAnsi="Calibri" w:eastAsia="Hiragino Sans GB"/>
                <w:b/>
                <w:color w:val="111111"/>
                <w:sz w:val="16"/>
              </w:rPr>
              <w:t>1</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5"/>
              </w:rPr>
              <w:t>NEUTRAL</w:t>
            </w:r>
          </w:p>
        </w:tc>
        <w:tc>
          <w:tcPr>
            <w:tcW w:type="dxa" w:w="2300"/>
            <w:tcMar>
              <w:top w:w="80" w:type="dxa"/>
              <w:bottom w:w="80" w:type="dxa"/>
              <w:start w:w="120" w:type="dxa"/>
              <w:end w:w="120" w:type="dxa"/>
            </w:tcMar>
          </w:tcPr>
          <w:p>
            <w:hyperlink r:id="rId59">
              <w:r>
                <w:rPr>
                  <w:color w:val="1D5FD1"/>
                  <w:u w:val="single"/>
                  <w:b/>
                  <w:sz w:val="16"/>
                  <w:szCs w:val="16"/>
                  <w:rFonts w:ascii="Calibri" w:hAnsi="Calibri" w:eastAsia="Hiragino Sans GB"/>
                </w:rPr>
                <w:t>AI 电力/电网设备</w:t>
              </w:r>
            </w:hyperlink>
          </w:p>
        </w:tc>
        <w:tc>
          <w:tcPr>
            <w:tcW w:type="dxa" w:w="255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并网排队和变压器交期是否继续拉长</w:t>
            </w:r>
          </w:p>
        </w:tc>
        <w:tc>
          <w:tcPr>
            <w:tcW w:type="dxa" w:w="26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GEV · ETN · 600089.SH · VST · CEG · 002028.SZ</w:t>
            </w:r>
          </w:p>
        </w:tc>
      </w:tr>
      <w:tr>
        <w:trPr>
          <w:cantSplit/>
        </w:trPr>
        <w:tc>
          <w:tcPr>
            <w:tcW w:type="dxa" w:w="600"/>
            <w:tcMar>
              <w:top w:w="80" w:type="dxa"/>
              <w:bottom w:w="80" w:type="dxa"/>
              <w:start w:w="120" w:type="dxa"/>
              <w:end w:w="120" w:type="dxa"/>
            </w:tcMar>
          </w:tcPr>
          <w:p>
            <w:pPr>
              <w:spacing w:before="0" w:after="0" w:line="252" w:lineRule="auto"/>
            </w:pPr>
            <w:r>
              <w:rPr>
                <w:rFonts w:ascii="Calibri" w:hAnsi="Calibri" w:eastAsia="Hiragino Sans GB"/>
                <w:b/>
                <w:color w:val="111111"/>
                <w:sz w:val="16"/>
              </w:rPr>
              <w:t>2</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5"/>
              </w:rPr>
              <w:t>NEUTRAL</w:t>
            </w:r>
          </w:p>
        </w:tc>
        <w:tc>
          <w:tcPr>
            <w:tcW w:type="dxa" w:w="2300"/>
            <w:tcMar>
              <w:top w:w="80" w:type="dxa"/>
              <w:bottom w:w="80" w:type="dxa"/>
              <w:start w:w="120" w:type="dxa"/>
              <w:end w:w="120" w:type="dxa"/>
            </w:tcMar>
          </w:tcPr>
          <w:p>
            <w:hyperlink r:id="rId60">
              <w:r>
                <w:rPr>
                  <w:color w:val="1D5FD1"/>
                  <w:u w:val="single"/>
                  <w:b/>
                  <w:sz w:val="16"/>
                  <w:szCs w:val="16"/>
                  <w:rFonts w:ascii="Calibri" w:hAnsi="Calibri" w:eastAsia="Hiragino Sans GB"/>
                </w:rPr>
                <w:t>A股半导体/两融负 Gamma</w:t>
              </w:r>
            </w:hyperlink>
          </w:p>
        </w:tc>
        <w:tc>
          <w:tcPr>
            <w:tcW w:type="dxa" w:w="255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融资余额、ETF 申赎和北向资金是否同向</w:t>
            </w:r>
          </w:p>
        </w:tc>
        <w:tc>
          <w:tcPr>
            <w:tcW w:type="dxa" w:w="26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688256.SH · 688981.SH · 0981.HK · 688041.SH · 588000.SH · 688008.SH</w:t>
            </w:r>
          </w:p>
        </w:tc>
      </w:tr>
      <w:tr>
        <w:trPr>
          <w:cantSplit/>
        </w:trPr>
        <w:tc>
          <w:tcPr>
            <w:tcW w:type="dxa" w:w="600"/>
            <w:tcMar>
              <w:top w:w="80" w:type="dxa"/>
              <w:bottom w:w="80" w:type="dxa"/>
              <w:start w:w="120" w:type="dxa"/>
              <w:end w:w="120" w:type="dxa"/>
            </w:tcMar>
          </w:tcPr>
          <w:p>
            <w:pPr>
              <w:spacing w:before="0" w:after="0" w:line="252" w:lineRule="auto"/>
            </w:pPr>
            <w:r>
              <w:rPr>
                <w:rFonts w:ascii="Calibri" w:hAnsi="Calibri" w:eastAsia="Hiragino Sans GB"/>
                <w:b/>
                <w:color w:val="111111"/>
                <w:sz w:val="16"/>
              </w:rPr>
              <w:t>3</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5"/>
              </w:rPr>
              <w:t>UNDERWEIGHT</w:t>
            </w:r>
          </w:p>
        </w:tc>
        <w:tc>
          <w:tcPr>
            <w:tcW w:type="dxa" w:w="2300"/>
            <w:tcMar>
              <w:top w:w="80" w:type="dxa"/>
              <w:bottom w:w="80" w:type="dxa"/>
              <w:start w:w="120" w:type="dxa"/>
              <w:end w:w="120" w:type="dxa"/>
            </w:tcMar>
          </w:tcPr>
          <w:p>
            <w:hyperlink r:id="rId61">
              <w:r>
                <w:rPr>
                  <w:color w:val="1D5FD1"/>
                  <w:u w:val="single"/>
                  <w:b/>
                  <w:sz w:val="16"/>
                  <w:szCs w:val="16"/>
                  <w:rFonts w:ascii="Calibri" w:hAnsi="Calibri" w:eastAsia="Hiragino Sans GB"/>
                </w:rPr>
                <w:t>A股风险偏好/两融</w:t>
              </w:r>
            </w:hyperlink>
          </w:p>
        </w:tc>
        <w:tc>
          <w:tcPr>
            <w:tcW w:type="dxa" w:w="255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融资余额、ETF 申赎和北向资金是否同向</w:t>
            </w:r>
          </w:p>
        </w:tc>
        <w:tc>
          <w:tcPr>
            <w:tcW w:type="dxa" w:w="26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588000.SH · 510300.SH · 688729.SH · 300750.SZ · 512100.SH · 300308.SZ</w:t>
            </w:r>
          </w:p>
        </w:tc>
      </w:tr>
      <w:tr>
        <w:trPr>
          <w:cantSplit/>
        </w:trPr>
        <w:tc>
          <w:tcPr>
            <w:tcW w:type="dxa" w:w="600"/>
            <w:tcMar>
              <w:top w:w="80" w:type="dxa"/>
              <w:bottom w:w="80" w:type="dxa"/>
              <w:start w:w="120" w:type="dxa"/>
              <w:end w:w="120" w:type="dxa"/>
            </w:tcMar>
          </w:tcPr>
          <w:p>
            <w:pPr>
              <w:spacing w:before="0" w:after="0" w:line="252" w:lineRule="auto"/>
            </w:pPr>
            <w:r>
              <w:rPr>
                <w:rFonts w:ascii="Calibri" w:hAnsi="Calibri" w:eastAsia="Hiragino Sans GB"/>
                <w:b/>
                <w:color w:val="111111"/>
                <w:sz w:val="16"/>
              </w:rPr>
              <w:t>4</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5"/>
              </w:rPr>
              <w:t>NEUTRAL</w:t>
            </w:r>
          </w:p>
        </w:tc>
        <w:tc>
          <w:tcPr>
            <w:tcW w:type="dxa" w:w="2300"/>
            <w:tcMar>
              <w:top w:w="80" w:type="dxa"/>
              <w:bottom w:w="80" w:type="dxa"/>
              <w:start w:w="120" w:type="dxa"/>
              <w:end w:w="120" w:type="dxa"/>
            </w:tcMar>
          </w:tcPr>
          <w:p>
            <w:hyperlink r:id="rId62">
              <w:r>
                <w:rPr>
                  <w:color w:val="1D5FD1"/>
                  <w:u w:val="single"/>
                  <w:b/>
                  <w:sz w:val="16"/>
                  <w:szCs w:val="16"/>
                  <w:rFonts w:ascii="Calibri" w:hAnsi="Calibri" w:eastAsia="Hiragino Sans GB"/>
                </w:rPr>
                <w:t>油气/地缘通胀</w:t>
              </w:r>
            </w:hyperlink>
          </w:p>
        </w:tc>
        <w:tc>
          <w:tcPr>
            <w:tcW w:type="dxa" w:w="255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油价和金属缺口是否从成本冲击变成需求破坏</w:t>
            </w:r>
          </w:p>
        </w:tc>
        <w:tc>
          <w:tcPr>
            <w:tcW w:type="dxa" w:w="26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0883.HK · SLB · OXY · CVX · XOM · 0857.HK</w:t>
            </w:r>
          </w:p>
        </w:tc>
      </w:tr>
      <w:tr>
        <w:trPr>
          <w:cantSplit/>
        </w:trPr>
        <w:tc>
          <w:tcPr>
            <w:tcW w:type="dxa" w:w="600"/>
            <w:tcMar>
              <w:top w:w="80" w:type="dxa"/>
              <w:bottom w:w="80" w:type="dxa"/>
              <w:start w:w="120" w:type="dxa"/>
              <w:end w:w="120" w:type="dxa"/>
            </w:tcMar>
          </w:tcPr>
          <w:p>
            <w:pPr>
              <w:spacing w:before="0" w:after="0" w:line="252" w:lineRule="auto"/>
            </w:pPr>
            <w:r>
              <w:rPr>
                <w:rFonts w:ascii="Calibri" w:hAnsi="Calibri" w:eastAsia="Hiragino Sans GB"/>
                <w:b/>
                <w:color w:val="111111"/>
                <w:sz w:val="16"/>
              </w:rPr>
              <w:t>5</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5"/>
              </w:rPr>
              <w:t>NEUTRAL</w:t>
            </w:r>
          </w:p>
        </w:tc>
        <w:tc>
          <w:tcPr>
            <w:tcW w:type="dxa" w:w="2300"/>
            <w:tcMar>
              <w:top w:w="80" w:type="dxa"/>
              <w:bottom w:w="80" w:type="dxa"/>
              <w:start w:w="120" w:type="dxa"/>
              <w:end w:w="120" w:type="dxa"/>
            </w:tcMar>
          </w:tcPr>
          <w:p>
            <w:hyperlink r:id="rId63">
              <w:r>
                <w:rPr>
                  <w:color w:val="1D5FD1"/>
                  <w:u w:val="single"/>
                  <w:b/>
                  <w:sz w:val="16"/>
                  <w:szCs w:val="16"/>
                  <w:rFonts w:ascii="Calibri" w:hAnsi="Calibri" w:eastAsia="Hiragino Sans GB"/>
                </w:rPr>
                <w:t>公用事业/电网信用</w:t>
              </w:r>
            </w:hyperlink>
          </w:p>
        </w:tc>
        <w:tc>
          <w:tcPr>
            <w:tcW w:type="dxa" w:w="255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并网排队和变压器交期是否继续拉长</w:t>
            </w:r>
          </w:p>
        </w:tc>
        <w:tc>
          <w:tcPr>
            <w:tcW w:type="dxa" w:w="26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600900.SH · DUK · CEG · AEP · 600905.SH · 600025.SH</w:t>
            </w:r>
          </w:p>
        </w:tc>
      </w:tr>
      <w:tr>
        <w:trPr>
          <w:cantSplit/>
        </w:trPr>
        <w:tc>
          <w:tcPr>
            <w:tcW w:type="dxa" w:w="600"/>
            <w:tcMar>
              <w:top w:w="80" w:type="dxa"/>
              <w:bottom w:w="80" w:type="dxa"/>
              <w:start w:w="120" w:type="dxa"/>
              <w:end w:w="120" w:type="dxa"/>
            </w:tcMar>
          </w:tcPr>
          <w:p>
            <w:pPr>
              <w:spacing w:before="0" w:after="0" w:line="252" w:lineRule="auto"/>
            </w:pPr>
            <w:r>
              <w:rPr>
                <w:rFonts w:ascii="Calibri" w:hAnsi="Calibri" w:eastAsia="Hiragino Sans GB"/>
                <w:b/>
                <w:color w:val="111111"/>
                <w:sz w:val="16"/>
              </w:rPr>
              <w:t>6</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5"/>
              </w:rPr>
              <w:t>NEUTRAL</w:t>
            </w:r>
          </w:p>
        </w:tc>
        <w:tc>
          <w:tcPr>
            <w:tcW w:type="dxa" w:w="2300"/>
            <w:tcMar>
              <w:top w:w="80" w:type="dxa"/>
              <w:bottom w:w="80" w:type="dxa"/>
              <w:start w:w="120" w:type="dxa"/>
              <w:end w:w="120" w:type="dxa"/>
            </w:tcMar>
          </w:tcPr>
          <w:p>
            <w:hyperlink r:id="rId64">
              <w:r>
                <w:rPr>
                  <w:color w:val="1D5FD1"/>
                  <w:u w:val="single"/>
                  <w:b/>
                  <w:sz w:val="16"/>
                  <w:szCs w:val="16"/>
                  <w:rFonts w:ascii="Calibri" w:hAnsi="Calibri" w:eastAsia="Hiragino Sans GB"/>
                </w:rPr>
                <w:t>美债利率/美元再定价</w:t>
              </w:r>
            </w:hyperlink>
          </w:p>
        </w:tc>
        <w:tc>
          <w:tcPr>
            <w:tcW w:type="dxa" w:w="255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CPI/PCE 与油价是否重新推高实际利率</w:t>
            </w:r>
          </w:p>
        </w:tc>
        <w:tc>
          <w:tcPr>
            <w:tcW w:type="dxa" w:w="26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TLT · IEF · JPM · UUP · CME · GLD</w:t>
            </w:r>
          </w:p>
        </w:tc>
      </w:tr>
      <w:tr>
        <w:trPr>
          <w:cantSplit/>
        </w:trPr>
        <w:tc>
          <w:tcPr>
            <w:tcW w:type="dxa" w:w="600"/>
            <w:tcMar>
              <w:top w:w="80" w:type="dxa"/>
              <w:bottom w:w="80" w:type="dxa"/>
              <w:start w:w="120" w:type="dxa"/>
              <w:end w:w="120" w:type="dxa"/>
            </w:tcMar>
          </w:tcPr>
          <w:p>
            <w:pPr>
              <w:spacing w:before="0" w:after="0" w:line="252" w:lineRule="auto"/>
            </w:pPr>
            <w:r>
              <w:rPr>
                <w:rFonts w:ascii="Calibri" w:hAnsi="Calibri" w:eastAsia="Hiragino Sans GB"/>
                <w:b/>
                <w:color w:val="111111"/>
                <w:sz w:val="16"/>
              </w:rPr>
              <w:t>7</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5"/>
              </w:rPr>
              <w:t>NEUTRAL</w:t>
            </w:r>
          </w:p>
        </w:tc>
        <w:tc>
          <w:tcPr>
            <w:tcW w:type="dxa" w:w="2300"/>
            <w:tcMar>
              <w:top w:w="80" w:type="dxa"/>
              <w:bottom w:w="80" w:type="dxa"/>
              <w:start w:w="120" w:type="dxa"/>
              <w:end w:w="120" w:type="dxa"/>
            </w:tcMar>
          </w:tcPr>
          <w:p>
            <w:hyperlink r:id="rId65">
              <w:r>
                <w:rPr>
                  <w:color w:val="1D5FD1"/>
                  <w:u w:val="single"/>
                  <w:b/>
                  <w:sz w:val="16"/>
                  <w:szCs w:val="16"/>
                  <w:rFonts w:ascii="Calibri" w:hAnsi="Calibri" w:eastAsia="Hiragino Sans GB"/>
                </w:rPr>
                <w:t>先进封装/HBM4 闸门</w:t>
              </w:r>
            </w:hyperlink>
          </w:p>
        </w:tc>
        <w:tc>
          <w:tcPr>
            <w:tcW w:type="dxa" w:w="255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融资余额、ETF 申赎和北向资金是否同向</w:t>
            </w:r>
          </w:p>
        </w:tc>
        <w:tc>
          <w:tcPr>
            <w:tcW w:type="dxa" w:w="26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NVDA · TSM · 000660.KS · MU · ASML · 002916.SZ</w:t>
            </w:r>
          </w:p>
        </w:tc>
      </w:tr>
      <w:tr>
        <w:trPr>
          <w:cantSplit/>
        </w:trPr>
        <w:tc>
          <w:tcPr>
            <w:tcW w:type="dxa" w:w="600"/>
            <w:tcMar>
              <w:top w:w="80" w:type="dxa"/>
              <w:bottom w:w="80" w:type="dxa"/>
              <w:start w:w="120" w:type="dxa"/>
              <w:end w:w="120" w:type="dxa"/>
            </w:tcMar>
          </w:tcPr>
          <w:p>
            <w:pPr>
              <w:spacing w:before="0" w:after="0" w:line="252" w:lineRule="auto"/>
            </w:pPr>
            <w:r>
              <w:rPr>
                <w:rFonts w:ascii="Calibri" w:hAnsi="Calibri" w:eastAsia="Hiragino Sans GB"/>
                <w:b/>
                <w:color w:val="111111"/>
                <w:sz w:val="16"/>
              </w:rPr>
              <w:t>8</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5"/>
              </w:rPr>
              <w:t>NEUTRAL</w:t>
            </w:r>
          </w:p>
        </w:tc>
        <w:tc>
          <w:tcPr>
            <w:tcW w:type="dxa" w:w="2300"/>
            <w:tcMar>
              <w:top w:w="80" w:type="dxa"/>
              <w:bottom w:w="80" w:type="dxa"/>
              <w:start w:w="120" w:type="dxa"/>
              <w:end w:w="120" w:type="dxa"/>
            </w:tcMar>
          </w:tcPr>
          <w:p>
            <w:hyperlink r:id="rId13">
              <w:r>
                <w:rPr>
                  <w:color w:val="1D5FD1"/>
                  <w:u w:val="single"/>
                  <w:b/>
                  <w:sz w:val="16"/>
                  <w:szCs w:val="16"/>
                  <w:rFonts w:ascii="Calibri" w:hAnsi="Calibri" w:eastAsia="Hiragino Sans GB"/>
                </w:rPr>
                <w:t>Mag7 AI 平台再分层</w:t>
              </w:r>
            </w:hyperlink>
          </w:p>
        </w:tc>
        <w:tc>
          <w:tcPr>
            <w:tcW w:type="dxa" w:w="255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云厂商 capex 指引是否继续上修</w:t>
            </w:r>
          </w:p>
        </w:tc>
        <w:tc>
          <w:tcPr>
            <w:tcW w:type="dxa" w:w="26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META · MSFT · NVDA · AMZN · GOOGL · TSM</w:t>
            </w:r>
          </w:p>
        </w:tc>
      </w:tr>
      <w:tr>
        <w:trPr>
          <w:cantSplit/>
        </w:trPr>
        <w:tc>
          <w:tcPr>
            <w:tcW w:type="dxa" w:w="600"/>
            <w:tcMar>
              <w:top w:w="80" w:type="dxa"/>
              <w:bottom w:w="80" w:type="dxa"/>
              <w:start w:w="120" w:type="dxa"/>
              <w:end w:w="120" w:type="dxa"/>
            </w:tcMar>
          </w:tcPr>
          <w:p>
            <w:pPr>
              <w:spacing w:before="0" w:after="0" w:line="252" w:lineRule="auto"/>
            </w:pPr>
            <w:r>
              <w:rPr>
                <w:rFonts w:ascii="Calibri" w:hAnsi="Calibri" w:eastAsia="Hiragino Sans GB"/>
                <w:b/>
                <w:color w:val="111111"/>
                <w:sz w:val="16"/>
              </w:rPr>
              <w:t>9</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5"/>
              </w:rPr>
              <w:t>NEUTRAL</w:t>
            </w:r>
          </w:p>
        </w:tc>
        <w:tc>
          <w:tcPr>
            <w:tcW w:type="dxa" w:w="2300"/>
            <w:tcMar>
              <w:top w:w="80" w:type="dxa"/>
              <w:bottom w:w="80" w:type="dxa"/>
              <w:start w:w="120" w:type="dxa"/>
              <w:end w:w="120" w:type="dxa"/>
            </w:tcMar>
          </w:tcPr>
          <w:p>
            <w:hyperlink r:id="rId66">
              <w:r>
                <w:rPr>
                  <w:color w:val="1D5FD1"/>
                  <w:u w:val="single"/>
                  <w:b/>
                  <w:sz w:val="16"/>
                  <w:szCs w:val="16"/>
                  <w:rFonts w:ascii="Calibri" w:hAnsi="Calibri" w:eastAsia="Hiragino Sans GB"/>
                </w:rPr>
                <w:t>人民币/美元流动性敏感资产</w:t>
              </w:r>
            </w:hyperlink>
          </w:p>
        </w:tc>
        <w:tc>
          <w:tcPr>
            <w:tcW w:type="dxa" w:w="255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期权伽马和 ETF 资金是否放大尾盘流动性</w:t>
            </w:r>
          </w:p>
        </w:tc>
        <w:tc>
          <w:tcPr>
            <w:tcW w:type="dxa" w:w="26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UUP · FXI · 3988.HK · 2800.HK · 600900.SH · CME</w:t>
            </w:r>
          </w:p>
        </w:tc>
      </w:tr>
      <w:tr>
        <w:trPr>
          <w:cantSplit/>
        </w:trPr>
        <w:tc>
          <w:tcPr>
            <w:tcW w:type="dxa" w:w="600"/>
            <w:tcMar>
              <w:top w:w="80" w:type="dxa"/>
              <w:bottom w:w="80" w:type="dxa"/>
              <w:start w:w="120" w:type="dxa"/>
              <w:end w:w="120" w:type="dxa"/>
            </w:tcMar>
          </w:tcPr>
          <w:p>
            <w:pPr>
              <w:spacing w:before="0" w:after="0" w:line="252" w:lineRule="auto"/>
            </w:pPr>
            <w:r>
              <w:rPr>
                <w:rFonts w:ascii="Calibri" w:hAnsi="Calibri" w:eastAsia="Hiragino Sans GB"/>
                <w:b/>
                <w:color w:val="111111"/>
                <w:sz w:val="16"/>
              </w:rPr>
              <w:t>10</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5"/>
              </w:rPr>
              <w:t>NEUTRAL</w:t>
            </w:r>
          </w:p>
        </w:tc>
        <w:tc>
          <w:tcPr>
            <w:tcW w:type="dxa" w:w="2300"/>
            <w:tcMar>
              <w:top w:w="80" w:type="dxa"/>
              <w:bottom w:w="80" w:type="dxa"/>
              <w:start w:w="120" w:type="dxa"/>
              <w:end w:w="120" w:type="dxa"/>
            </w:tcMar>
          </w:tcPr>
          <w:p>
            <w:hyperlink r:id="rId67">
              <w:r>
                <w:rPr>
                  <w:color w:val="1D5FD1"/>
                  <w:u w:val="single"/>
                  <w:b/>
                  <w:sz w:val="16"/>
                  <w:szCs w:val="16"/>
                  <w:rFonts w:ascii="Calibri" w:hAnsi="Calibri" w:eastAsia="Hiragino Sans GB"/>
                </w:rPr>
                <w:t>AI 算力半导体</w:t>
              </w:r>
            </w:hyperlink>
          </w:p>
        </w:tc>
        <w:tc>
          <w:tcPr>
            <w:tcW w:type="dxa" w:w="255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云厂商 capex 指引是否继续上修</w:t>
            </w:r>
          </w:p>
        </w:tc>
        <w:tc>
          <w:tcPr>
            <w:tcW w:type="dxa" w:w="26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NVDA · TSM · AMD · AVGO · 000660.KS · MU</w:t>
            </w:r>
          </w:p>
        </w:tc>
      </w:tr>
      <w:tr>
        <w:trPr>
          <w:cantSplit/>
        </w:trPr>
        <w:tc>
          <w:tcPr>
            <w:tcW w:type="dxa" w:w="600"/>
            <w:tcMar>
              <w:top w:w="80" w:type="dxa"/>
              <w:bottom w:w="80" w:type="dxa"/>
              <w:start w:w="120" w:type="dxa"/>
              <w:end w:w="120" w:type="dxa"/>
            </w:tcMar>
          </w:tcPr>
          <w:p>
            <w:pPr>
              <w:spacing w:before="0" w:after="0" w:line="252" w:lineRule="auto"/>
            </w:pPr>
            <w:r>
              <w:rPr>
                <w:rFonts w:ascii="Calibri" w:hAnsi="Calibri" w:eastAsia="Hiragino Sans GB"/>
                <w:b/>
                <w:color w:val="111111"/>
                <w:sz w:val="16"/>
              </w:rPr>
              <w:t>11</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C92A2A"/>
                <w:sz w:val="15"/>
              </w:rPr>
              <w:t>UNDERWEIGHT</w:t>
            </w:r>
          </w:p>
        </w:tc>
        <w:tc>
          <w:tcPr>
            <w:tcW w:type="dxa" w:w="2300"/>
            <w:tcMar>
              <w:top w:w="80" w:type="dxa"/>
              <w:bottom w:w="80" w:type="dxa"/>
              <w:start w:w="120" w:type="dxa"/>
              <w:end w:w="120" w:type="dxa"/>
            </w:tcMar>
          </w:tcPr>
          <w:p>
            <w:hyperlink r:id="rId12">
              <w:r>
                <w:rPr>
                  <w:color w:val="1D5FD1"/>
                  <w:u w:val="single"/>
                  <w:b/>
                  <w:sz w:val="16"/>
                  <w:szCs w:val="16"/>
                  <w:rFonts w:ascii="Calibri" w:hAnsi="Calibri" w:eastAsia="Hiragino Sans GB"/>
                </w:rPr>
                <w:t>A股红利/硬科技杠铃</w:t>
              </w:r>
            </w:hyperlink>
          </w:p>
        </w:tc>
        <w:tc>
          <w:tcPr>
            <w:tcW w:type="dxa" w:w="255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融资余额、ETF 申赎和北向资金是否同向</w:t>
            </w:r>
          </w:p>
        </w:tc>
        <w:tc>
          <w:tcPr>
            <w:tcW w:type="dxa" w:w="26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600900.SH · 601088.SH · 688981.SH · 601398.SH · 588000.SH · 600941.SH</w:t>
            </w:r>
          </w:p>
        </w:tc>
      </w:tr>
      <w:tr>
        <w:trPr>
          <w:cantSplit/>
        </w:trPr>
        <w:tc>
          <w:tcPr>
            <w:tcW w:type="dxa" w:w="600"/>
            <w:tcMar>
              <w:top w:w="80" w:type="dxa"/>
              <w:bottom w:w="80" w:type="dxa"/>
              <w:start w:w="120" w:type="dxa"/>
              <w:end w:w="120" w:type="dxa"/>
            </w:tcMar>
          </w:tcPr>
          <w:p>
            <w:pPr>
              <w:spacing w:before="0" w:after="0" w:line="252" w:lineRule="auto"/>
            </w:pPr>
            <w:r>
              <w:rPr>
                <w:rFonts w:ascii="Calibri" w:hAnsi="Calibri" w:eastAsia="Hiragino Sans GB"/>
                <w:b/>
                <w:color w:val="111111"/>
                <w:sz w:val="16"/>
              </w:rPr>
              <w:t>12</w:t>
            </w:r>
          </w:p>
        </w:tc>
        <w:tc>
          <w:tcPr>
            <w:tcW w:type="dxa" w:w="1250"/>
            <w:tcMar>
              <w:top w:w="80" w:type="dxa"/>
              <w:bottom w:w="80" w:type="dxa"/>
              <w:start w:w="120" w:type="dxa"/>
              <w:end w:w="120" w:type="dxa"/>
            </w:tcMar>
          </w:tcPr>
          <w:p>
            <w:pPr>
              <w:spacing w:before="0" w:after="0" w:line="252" w:lineRule="auto"/>
            </w:pPr>
            <w:r>
              <w:rPr>
                <w:rFonts w:ascii="Calibri" w:hAnsi="Calibri" w:eastAsia="Hiragino Sans GB"/>
                <w:b/>
                <w:color w:val="1D5FD1"/>
                <w:sz w:val="15"/>
              </w:rPr>
              <w:t>NEUTRAL</w:t>
            </w:r>
          </w:p>
        </w:tc>
        <w:tc>
          <w:tcPr>
            <w:tcW w:type="dxa" w:w="2300"/>
            <w:tcMar>
              <w:top w:w="80" w:type="dxa"/>
              <w:bottom w:w="80" w:type="dxa"/>
              <w:start w:w="120" w:type="dxa"/>
              <w:end w:w="120" w:type="dxa"/>
            </w:tcMar>
          </w:tcPr>
          <w:p>
            <w:hyperlink r:id="rId68">
              <w:r>
                <w:rPr>
                  <w:color w:val="1D5FD1"/>
                  <w:u w:val="single"/>
                  <w:b/>
                  <w:sz w:val="16"/>
                  <w:szCs w:val="16"/>
                  <w:rFonts w:ascii="Calibri" w:hAnsi="Calibri" w:eastAsia="Hiragino Sans GB"/>
                </w:rPr>
                <w:t>A股硬科技/科创50</w:t>
              </w:r>
            </w:hyperlink>
          </w:p>
        </w:tc>
        <w:tc>
          <w:tcPr>
            <w:tcW w:type="dxa" w:w="255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融资余额、ETF 申赎和北向资金是否同向</w:t>
            </w:r>
          </w:p>
        </w:tc>
        <w:tc>
          <w:tcPr>
            <w:tcW w:type="dxa" w:w="2660"/>
            <w:tcMar>
              <w:top w:w="80" w:type="dxa"/>
              <w:bottom w:w="80" w:type="dxa"/>
              <w:start w:w="120" w:type="dxa"/>
              <w:end w:w="120" w:type="dxa"/>
            </w:tcMar>
          </w:tcPr>
          <w:p>
            <w:pPr>
              <w:spacing w:before="0" w:after="0" w:line="252" w:lineRule="auto"/>
            </w:pPr>
            <w:r>
              <w:rPr>
                <w:rFonts w:ascii="Calibri" w:hAnsi="Calibri" w:eastAsia="Hiragino Sans GB"/>
                <w:b w:val="0"/>
                <w:color w:val="111111"/>
                <w:sz w:val="16"/>
              </w:rPr>
              <w:t>688256.SH · 588000.SH · 688981.SH · 688041.SH · 300308.SZ · 688008.SH</w:t>
            </w:r>
          </w:p>
        </w:tc>
      </w:tr>
    </w:tbl>
    <w:p>
      <w:pPr>
        <w:pStyle w:val="Heading1"/>
      </w:pPr>
      <w:r>
        <w:t>6. 关键分歧：保留正反两面</w:t>
      </w:r>
    </w:p>
    <w:p>
      <w:pPr>
        <w:pStyle w:val="Heading2"/>
      </w:pPr>
      <w:r>
        <w:t>01 · Mag7 在 AI 时代从平台垄断转向基础设施再分层</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1350"/>
        <w:gridCol w:w="8010"/>
      </w:tblGrid>
      <w:tr>
        <w:trPr>
          <w:cantSplit/>
        </w:trPr>
        <w:tc>
          <w:tcPr>
            <w:tcW w:type="dxa" w:w="13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6"/>
              </w:rPr>
              <w:t>SUPPORT</w:t>
            </w:r>
          </w:p>
        </w:tc>
        <w:tc>
          <w:tcPr>
            <w:tcW w:type="dxa" w:w="801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2026-07-10｜超大规模厂商资本轮动：从消费内容到 AI 算力</w:t>
            </w:r>
          </w:p>
        </w:tc>
      </w:tr>
      <w:tr>
        <w:trPr>
          <w:cantSplit/>
        </w:trPr>
        <w:tc>
          <w:tcPr>
            <w:tcW w:type="dxa" w:w="13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6"/>
              </w:rPr>
              <w:t>CHALLENGE</w:t>
            </w:r>
          </w:p>
        </w:tc>
        <w:tc>
          <w:tcPr>
            <w:tcW w:type="dxa" w:w="801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AI 入口份额碎片化下 GOOGL/MSFT/META 相对溢价的重估</w:t>
            </w:r>
          </w:p>
        </w:tc>
      </w:tr>
      <w:tr>
        <w:trPr>
          <w:cantSplit/>
        </w:trPr>
        <w:tc>
          <w:tcPr>
            <w:tcW w:type="dxa" w:w="13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D85B16"/>
                <w:sz w:val="16"/>
              </w:rPr>
              <w:t>RESOLVE</w:t>
            </w:r>
          </w:p>
        </w:tc>
        <w:tc>
          <w:tcPr>
            <w:tcW w:type="dxa" w:w="801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下一周需要由价格、订单、交付、政策或盈利数据中的至少一项同向确认。</w:t>
            </w:r>
          </w:p>
        </w:tc>
      </w:tr>
    </w:tbl>
    <w:p>
      <w:pPr>
        <w:pStyle w:val="Heading2"/>
      </w:pPr>
      <w:r>
        <w:t>02 · DeepSeek 式低价模型正在重塑 AI 定价权与软件利润池</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1350"/>
        <w:gridCol w:w="8010"/>
      </w:tblGrid>
      <w:tr>
        <w:trPr>
          <w:cantSplit/>
        </w:trPr>
        <w:tc>
          <w:tcPr>
            <w:tcW w:type="dxa" w:w="13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6"/>
              </w:rPr>
              <w:t>SUPPORT</w:t>
            </w:r>
          </w:p>
        </w:tc>
        <w:tc>
          <w:tcPr>
            <w:tcW w:type="dxa" w:w="801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硬件稀缺与 Token 通缩：AI 算力层级的“大分流”</w:t>
            </w:r>
          </w:p>
        </w:tc>
      </w:tr>
      <w:tr>
        <w:trPr>
          <w:cantSplit/>
        </w:trPr>
        <w:tc>
          <w:tcPr>
            <w:tcW w:type="dxa" w:w="13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6"/>
              </w:rPr>
              <w:t>CHALLENGE</w:t>
            </w:r>
          </w:p>
        </w:tc>
        <w:tc>
          <w:tcPr>
            <w:tcW w:type="dxa" w:w="801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DeepSeek V4 极低成本对国内云价格战与 A 股软件板块利润率的影响</w:t>
            </w:r>
          </w:p>
        </w:tc>
      </w:tr>
      <w:tr>
        <w:trPr>
          <w:cantSplit/>
        </w:trPr>
        <w:tc>
          <w:tcPr>
            <w:tcW w:type="dxa" w:w="13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D85B16"/>
                <w:sz w:val="16"/>
              </w:rPr>
              <w:t>RESOLVE</w:t>
            </w:r>
          </w:p>
        </w:tc>
        <w:tc>
          <w:tcPr>
            <w:tcW w:type="dxa" w:w="801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下一周需要由价格、订单、交付、政策或盈利数据中的至少一项同向确认。</w:t>
            </w:r>
          </w:p>
        </w:tc>
      </w:tr>
    </w:tbl>
    <w:p>
      <w:pPr>
        <w:pStyle w:val="Heading2"/>
      </w:pPr>
      <w:r>
        <w:t>03 · HBM4、CoWoS 与背面供电正在成为 AI 服务器需求曲线的串行闸门</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1350"/>
        <w:gridCol w:w="8010"/>
      </w:tblGrid>
      <w:tr>
        <w:trPr>
          <w:cantSplit/>
        </w:trPr>
        <w:tc>
          <w:tcPr>
            <w:tcW w:type="dxa" w:w="13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6"/>
              </w:rPr>
              <w:t>SUPPORT</w:t>
            </w:r>
          </w:p>
        </w:tc>
        <w:tc>
          <w:tcPr>
            <w:tcW w:type="dxa" w:w="801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NVIDIA Vera Rubin 平台及其先进封装 (CoWoS) 供应链深度解析</w:t>
            </w:r>
          </w:p>
        </w:tc>
      </w:tr>
      <w:tr>
        <w:trPr>
          <w:cantSplit/>
        </w:trPr>
        <w:tc>
          <w:tcPr>
            <w:tcW w:type="dxa" w:w="13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6"/>
              </w:rPr>
              <w:t>CHALLENGE</w:t>
            </w:r>
          </w:p>
        </w:tc>
        <w:tc>
          <w:tcPr>
            <w:tcW w:type="dxa" w:w="801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HBM4与CoWoS-L：3nm瓶颈背后真正被低估的"铲子股"</w:t>
            </w:r>
          </w:p>
        </w:tc>
      </w:tr>
      <w:tr>
        <w:trPr>
          <w:cantSplit/>
        </w:trPr>
        <w:tc>
          <w:tcPr>
            <w:tcW w:type="dxa" w:w="135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D85B16"/>
                <w:sz w:val="16"/>
              </w:rPr>
              <w:t>RESOLVE</w:t>
            </w:r>
          </w:p>
        </w:tc>
        <w:tc>
          <w:tcPr>
            <w:tcW w:type="dxa" w:w="801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8"/>
              </w:rPr>
              <w:t>下一周需要由价格、订单、交付、政策或盈利数据中的至少一项同向确认。</w:t>
            </w:r>
          </w:p>
        </w:tc>
      </w:tr>
    </w:tbl>
    <w:p>
      <w:pPr>
        <w:pStyle w:val="Heading1"/>
      </w:pPr>
      <w:r>
        <w:t>7. 下周验证清单</w:t>
      </w:r>
    </w:p>
    <w:p>
      <w:pPr>
        <w:pStyle w:val="Heading2"/>
      </w:pPr>
      <w:r>
        <w:t>01 · AI 电力/电网设备：并网排队和变压器交期是否继续拉长</w:t>
      </w:r>
    </w:p>
    <w:p>
      <w:pPr>
        <w:keepLines/>
      </w:pPr>
      <w:r>
        <w:rPr>
          <w:rFonts w:ascii="Calibri" w:hAnsi="Calibri" w:eastAsia="Hiragino Sans GB"/>
          <w:b w:val="0"/>
          <w:color w:val="5E6268"/>
          <w:sz w:val="22"/>
        </w:rPr>
        <w:t>该信号决定 NEUTRAL 配置能否从研究判断转化为可验证的组合结果。</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900"/>
        <w:gridCol w:w="3770"/>
        <w:gridCol w:w="4690"/>
      </w:tblGrid>
      <w:tr>
        <w:trPr>
          <w:cantSplit/>
        </w:trPr>
        <w:tc>
          <w:tcPr>
            <w:tcW w:type="dxa" w:w="9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5"/>
              </w:rPr>
              <w:t>POSITIVE</w:t>
            </w:r>
          </w:p>
        </w:tc>
        <w:tc>
          <w:tcPr>
            <w:tcW w:type="dxa" w:w="377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并网排队和变压器交期是否继续拉长</w:t>
            </w:r>
          </w:p>
        </w:tc>
        <w:tc>
          <w:tcPr>
            <w:tcW w:type="dxa" w:w="469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在既定赛道上限内优先增加证据最强的核心标的。</w:t>
            </w:r>
          </w:p>
        </w:tc>
      </w:tr>
      <w:tr>
        <w:trPr>
          <w:cantSplit/>
        </w:trPr>
        <w:tc>
          <w:tcPr>
            <w:tcW w:type="dxa" w:w="9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5"/>
              </w:rPr>
              <w:t>NEGATIVE</w:t>
            </w:r>
          </w:p>
        </w:tc>
        <w:tc>
          <w:tcPr>
            <w:tcW w:type="dxa" w:w="377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风险事件继续高于支持事件，且最新证据没有修复。</w:t>
            </w:r>
          </w:p>
        </w:tc>
        <w:tc>
          <w:tcPr>
            <w:tcW w:type="dxa" w:w="469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降低相关暴露，回到观察状态，并重新比较替代赛道。</w:t>
            </w:r>
          </w:p>
        </w:tc>
      </w:tr>
    </w:tbl>
    <w:p>
      <w:pPr>
        <w:pStyle w:val="Heading2"/>
      </w:pPr>
      <w:r>
        <w:t>02 · A股半导体/两融负 Gamma：融资余额、ETF 申赎和北向资金是否同向</w:t>
      </w:r>
    </w:p>
    <w:p>
      <w:pPr>
        <w:keepLines/>
      </w:pPr>
      <w:r>
        <w:rPr>
          <w:rFonts w:ascii="Calibri" w:hAnsi="Calibri" w:eastAsia="Hiragino Sans GB"/>
          <w:b w:val="0"/>
          <w:color w:val="5E6268"/>
          <w:sz w:val="22"/>
        </w:rPr>
        <w:t>该信号决定 NEUTRAL 配置能否从研究判断转化为可验证的组合结果。</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900"/>
        <w:gridCol w:w="3770"/>
        <w:gridCol w:w="4690"/>
      </w:tblGrid>
      <w:tr>
        <w:trPr>
          <w:cantSplit/>
        </w:trPr>
        <w:tc>
          <w:tcPr>
            <w:tcW w:type="dxa" w:w="9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5"/>
              </w:rPr>
              <w:t>POSITIVE</w:t>
            </w:r>
          </w:p>
        </w:tc>
        <w:tc>
          <w:tcPr>
            <w:tcW w:type="dxa" w:w="377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融资余额、ETF 申赎和北向资金是否同向</w:t>
            </w:r>
          </w:p>
        </w:tc>
        <w:tc>
          <w:tcPr>
            <w:tcW w:type="dxa" w:w="469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在既定赛道上限内优先增加证据最强的核心标的。</w:t>
            </w:r>
          </w:p>
        </w:tc>
      </w:tr>
      <w:tr>
        <w:trPr>
          <w:cantSplit/>
        </w:trPr>
        <w:tc>
          <w:tcPr>
            <w:tcW w:type="dxa" w:w="9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5"/>
              </w:rPr>
              <w:t>NEGATIVE</w:t>
            </w:r>
          </w:p>
        </w:tc>
        <w:tc>
          <w:tcPr>
            <w:tcW w:type="dxa" w:w="377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风险事件继续高于支持事件，且最新证据没有修复。</w:t>
            </w:r>
          </w:p>
        </w:tc>
        <w:tc>
          <w:tcPr>
            <w:tcW w:type="dxa" w:w="469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降低相关暴露，回到观察状态，并重新比较替代赛道。</w:t>
            </w:r>
          </w:p>
        </w:tc>
      </w:tr>
    </w:tbl>
    <w:p>
      <w:pPr>
        <w:pStyle w:val="Heading2"/>
      </w:pPr>
      <w:r>
        <w:t>03 · A股风险偏好/两融：融资余额、ETF 申赎和北向资金是否同向</w:t>
      </w:r>
    </w:p>
    <w:p>
      <w:pPr>
        <w:keepLines/>
      </w:pPr>
      <w:r>
        <w:rPr>
          <w:rFonts w:ascii="Calibri" w:hAnsi="Calibri" w:eastAsia="Hiragino Sans GB"/>
          <w:b w:val="0"/>
          <w:color w:val="5E6268"/>
          <w:sz w:val="22"/>
        </w:rPr>
        <w:t>该信号决定 UNDERWEIGHT 配置能否从研究判断转化为可验证的组合结果。</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900"/>
        <w:gridCol w:w="3770"/>
        <w:gridCol w:w="4690"/>
      </w:tblGrid>
      <w:tr>
        <w:trPr>
          <w:cantSplit/>
        </w:trPr>
        <w:tc>
          <w:tcPr>
            <w:tcW w:type="dxa" w:w="9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5"/>
              </w:rPr>
              <w:t>POSITIVE</w:t>
            </w:r>
          </w:p>
        </w:tc>
        <w:tc>
          <w:tcPr>
            <w:tcW w:type="dxa" w:w="377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融资余额、ETF 申赎和北向资金是否同向</w:t>
            </w:r>
          </w:p>
        </w:tc>
        <w:tc>
          <w:tcPr>
            <w:tcW w:type="dxa" w:w="469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维持低配并等待第二条确认。</w:t>
            </w:r>
          </w:p>
        </w:tc>
      </w:tr>
      <w:tr>
        <w:trPr>
          <w:cantSplit/>
        </w:trPr>
        <w:tc>
          <w:tcPr>
            <w:tcW w:type="dxa" w:w="9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5"/>
              </w:rPr>
              <w:t>NEGATIVE</w:t>
            </w:r>
          </w:p>
        </w:tc>
        <w:tc>
          <w:tcPr>
            <w:tcW w:type="dxa" w:w="377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风险事件继续高于支持事件，且最新证据没有修复。</w:t>
            </w:r>
          </w:p>
        </w:tc>
        <w:tc>
          <w:tcPr>
            <w:tcW w:type="dxa" w:w="469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降低相关暴露，回到观察状态，并重新比较替代赛道。</w:t>
            </w:r>
          </w:p>
        </w:tc>
      </w:tr>
    </w:tbl>
    <w:p>
      <w:pPr>
        <w:pStyle w:val="Heading2"/>
      </w:pPr>
      <w:r>
        <w:t>04 · 油气/地缘通胀：油价和金属缺口是否从成本冲击变成需求破坏</w:t>
      </w:r>
    </w:p>
    <w:p>
      <w:pPr>
        <w:keepLines/>
      </w:pPr>
      <w:r>
        <w:rPr>
          <w:rFonts w:ascii="Calibri" w:hAnsi="Calibri" w:eastAsia="Hiragino Sans GB"/>
          <w:b w:val="0"/>
          <w:color w:val="5E6268"/>
          <w:sz w:val="22"/>
        </w:rPr>
        <w:t>该信号决定 NEUTRAL 配置能否从研究判断转化为可验证的组合结果。</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900"/>
        <w:gridCol w:w="3770"/>
        <w:gridCol w:w="4690"/>
      </w:tblGrid>
      <w:tr>
        <w:trPr>
          <w:cantSplit/>
        </w:trPr>
        <w:tc>
          <w:tcPr>
            <w:tcW w:type="dxa" w:w="9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5"/>
              </w:rPr>
              <w:t>POSITIVE</w:t>
            </w:r>
          </w:p>
        </w:tc>
        <w:tc>
          <w:tcPr>
            <w:tcW w:type="dxa" w:w="377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油价和金属缺口是否从成本冲击变成需求破坏</w:t>
            </w:r>
          </w:p>
        </w:tc>
        <w:tc>
          <w:tcPr>
            <w:tcW w:type="dxa" w:w="469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在既定赛道上限内优先增加证据最强的核心标的。</w:t>
            </w:r>
          </w:p>
        </w:tc>
      </w:tr>
      <w:tr>
        <w:trPr>
          <w:cantSplit/>
        </w:trPr>
        <w:tc>
          <w:tcPr>
            <w:tcW w:type="dxa" w:w="9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5"/>
              </w:rPr>
              <w:t>NEGATIVE</w:t>
            </w:r>
          </w:p>
        </w:tc>
        <w:tc>
          <w:tcPr>
            <w:tcW w:type="dxa" w:w="377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风险事件继续高于支持事件，且最新证据没有修复。</w:t>
            </w:r>
          </w:p>
        </w:tc>
        <w:tc>
          <w:tcPr>
            <w:tcW w:type="dxa" w:w="469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降低相关暴露，回到观察状态，并重新比较替代赛道。</w:t>
            </w:r>
          </w:p>
        </w:tc>
      </w:tr>
    </w:tbl>
    <w:p>
      <w:pPr>
        <w:pStyle w:val="Heading2"/>
      </w:pPr>
      <w:r>
        <w:t>05 · 公用事业/电网信用：并网排队和变压器交期是否继续拉长</w:t>
      </w:r>
    </w:p>
    <w:p>
      <w:pPr>
        <w:keepLines/>
      </w:pPr>
      <w:r>
        <w:rPr>
          <w:rFonts w:ascii="Calibri" w:hAnsi="Calibri" w:eastAsia="Hiragino Sans GB"/>
          <w:b w:val="0"/>
          <w:color w:val="5E6268"/>
          <w:sz w:val="22"/>
        </w:rPr>
        <w:t>该信号决定 NEUTRAL 配置能否从研究判断转化为可验证的组合结果。</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900"/>
        <w:gridCol w:w="3770"/>
        <w:gridCol w:w="4690"/>
      </w:tblGrid>
      <w:tr>
        <w:trPr>
          <w:cantSplit/>
        </w:trPr>
        <w:tc>
          <w:tcPr>
            <w:tcW w:type="dxa" w:w="9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8864B"/>
                <w:sz w:val="15"/>
              </w:rPr>
              <w:t>POSITIVE</w:t>
            </w:r>
          </w:p>
        </w:tc>
        <w:tc>
          <w:tcPr>
            <w:tcW w:type="dxa" w:w="377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并网排队和变压器交期是否继续拉长</w:t>
            </w:r>
          </w:p>
        </w:tc>
        <w:tc>
          <w:tcPr>
            <w:tcW w:type="dxa" w:w="469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在既定赛道上限内优先增加证据最强的核心标的。</w:t>
            </w:r>
          </w:p>
        </w:tc>
      </w:tr>
      <w:tr>
        <w:trPr>
          <w:cantSplit/>
        </w:trPr>
        <w:tc>
          <w:tcPr>
            <w:tcW w:type="dxa" w:w="9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C92A2A"/>
                <w:sz w:val="15"/>
              </w:rPr>
              <w:t>NEGATIVE</w:t>
            </w:r>
          </w:p>
        </w:tc>
        <w:tc>
          <w:tcPr>
            <w:tcW w:type="dxa" w:w="377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风险事件继续高于支持事件，且最新证据没有修复。</w:t>
            </w:r>
          </w:p>
        </w:tc>
        <w:tc>
          <w:tcPr>
            <w:tcW w:type="dxa" w:w="4690"/>
            <w:tcMar>
              <w:top w:w="80" w:type="dxa"/>
              <w:bottom w:w="80" w:type="dxa"/>
              <w:start w:w="120" w:type="dxa"/>
              <w:end w:w="120" w:type="dxa"/>
            </w:tcMar>
            <w:vAlign w:val="top"/>
          </w:tcPr>
          <w:p>
            <w:pPr>
              <w:spacing w:before="0" w:after="0" w:line="252" w:lineRule="auto"/>
            </w:pPr>
            <w:r>
              <w:rPr>
                <w:rFonts w:ascii="Calibri" w:hAnsi="Calibri" w:eastAsia="Hiragino Sans GB"/>
                <w:b w:val="0"/>
                <w:color w:val="111111"/>
                <w:sz w:val="17"/>
              </w:rPr>
              <w:t>降低相关暴露，回到观察状态，并重新比较替代赛道。</w:t>
            </w:r>
          </w:p>
        </w:tc>
      </w:tr>
    </w:tbl>
    <w:p>
      <w:pPr>
        <w:pStyle w:val="Heading1"/>
      </w:pPr>
      <w:r>
        <w:t>8. 发布质量与数据边界</w:t>
      </w:r>
    </w:p>
    <w:p>
      <w:pPr>
        <w:keepLines w:val="0"/>
      </w:pPr>
      <w:r>
        <w:rPr>
          <w:rFonts w:ascii="Calibri" w:hAnsi="Calibri" w:eastAsia="Hiragino Sans GB"/>
          <w:b/>
          <w:color w:val="111111"/>
          <w:sz w:val="22"/>
        </w:rPr>
        <w:t>本周结构化市场报价为空，因此不发布伪精确收益归因；正式命中率与 Brier 需要已结算 forecast 合约。</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2500"/>
        <w:gridCol w:w="1860"/>
        <w:gridCol w:w="5000"/>
      </w:tblGrid>
      <w:tr>
        <w:trPr>
          <w:cantSplit/>
          <w:tblHeader w:val="true"/>
        </w:trPr>
        <w:tc>
          <w:tcPr>
            <w:tcW w:type="dxa" w:w="25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6"/>
              </w:rPr>
              <w:t>CHECK</w:t>
            </w:r>
          </w:p>
        </w:tc>
        <w:tc>
          <w:tcPr>
            <w:tcW w:type="dxa" w:w="186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6"/>
              </w:rPr>
              <w:t>STATUS / VALUE</w:t>
            </w:r>
          </w:p>
        </w:tc>
        <w:tc>
          <w:tcPr>
            <w:tcW w:type="dxa" w:w="500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6"/>
              </w:rPr>
              <w:t>INTERPRETATION</w:t>
            </w:r>
          </w:p>
        </w:tc>
      </w:tr>
      <w:tr>
        <w:trPr>
          <w:cantSplit/>
        </w:trPr>
        <w:tc>
          <w:tcPr>
            <w:tcW w:type="dxa" w:w="2500"/>
            <w:tcMar>
              <w:top w:w="80" w:type="dxa"/>
              <w:bottom w:w="80" w:type="dxa"/>
              <w:start w:w="120" w:type="dxa"/>
              <w:end w:w="120" w:type="dxa"/>
            </w:tcMar>
          </w:tcPr>
          <w:p>
            <w:pPr>
              <w:spacing w:before="0" w:after="0" w:line="252" w:lineRule="auto"/>
            </w:pPr>
            <w:r>
              <w:rPr>
                <w:rFonts w:ascii="Calibri" w:hAnsi="Calibri" w:eastAsia="Hiragino Sans GB"/>
                <w:b/>
                <w:color w:val="111111"/>
                <w:sz w:val="17"/>
              </w:rPr>
              <w:t>公开来源数</w:t>
            </w:r>
          </w:p>
        </w:tc>
        <w:tc>
          <w:tcPr>
            <w:tcW w:type="dxa" w:w="1860"/>
            <w:tcMar>
              <w:top w:w="80" w:type="dxa"/>
              <w:bottom w:w="80" w:type="dxa"/>
              <w:start w:w="120" w:type="dxa"/>
              <w:end w:w="120" w:type="dxa"/>
            </w:tcMar>
          </w:tcPr>
          <w:p>
            <w:pPr>
              <w:spacing w:before="0" w:after="0" w:line="252" w:lineRule="auto"/>
            </w:pPr>
            <w:r>
              <w:rPr>
                <w:rFonts w:ascii="Calibri" w:hAnsi="Calibri" w:eastAsia="Hiragino Sans GB"/>
                <w:b/>
                <w:color w:val="18864B"/>
                <w:sz w:val="16"/>
              </w:rPr>
              <w:t>pass · 80</w:t>
            </w:r>
          </w:p>
        </w:tc>
        <w:tc>
          <w:tcPr>
            <w:tcW w:type="dxa" w:w="5000"/>
            <w:tcMar>
              <w:top w:w="80" w:type="dxa"/>
              <w:bottom w:w="80" w:type="dxa"/>
              <w:start w:w="120" w:type="dxa"/>
              <w:end w:w="120" w:type="dxa"/>
            </w:tcMar>
          </w:tcPr>
          <w:p>
            <w:pPr>
              <w:spacing w:before="0" w:after="0" w:line="252" w:lineRule="auto"/>
            </w:pPr>
            <w:r>
              <w:rPr>
                <w:rFonts w:ascii="Calibri" w:hAnsi="Calibri" w:eastAsia="Hiragino Sans GB"/>
                <w:b w:val="0"/>
                <w:color w:val="111111"/>
                <w:sz w:val="17"/>
              </w:rPr>
              <w:t>公开来源覆盖</w:t>
            </w:r>
          </w:p>
        </w:tc>
      </w:tr>
      <w:tr>
        <w:trPr>
          <w:cantSplit/>
        </w:trPr>
        <w:tc>
          <w:tcPr>
            <w:tcW w:type="dxa" w:w="2500"/>
            <w:tcMar>
              <w:top w:w="80" w:type="dxa"/>
              <w:bottom w:w="80" w:type="dxa"/>
              <w:start w:w="120" w:type="dxa"/>
              <w:end w:w="120" w:type="dxa"/>
            </w:tcMar>
          </w:tcPr>
          <w:p>
            <w:pPr>
              <w:spacing w:before="0" w:after="0" w:line="252" w:lineRule="auto"/>
            </w:pPr>
            <w:r>
              <w:rPr>
                <w:rFonts w:ascii="Calibri" w:hAnsi="Calibri" w:eastAsia="Hiragino Sans GB"/>
                <w:b/>
                <w:color w:val="111111"/>
                <w:sz w:val="17"/>
              </w:rPr>
              <w:t>操作结论证据覆盖</w:t>
            </w:r>
          </w:p>
        </w:tc>
        <w:tc>
          <w:tcPr>
            <w:tcW w:type="dxa" w:w="1860"/>
            <w:tcMar>
              <w:top w:w="80" w:type="dxa"/>
              <w:bottom w:w="80" w:type="dxa"/>
              <w:start w:w="120" w:type="dxa"/>
              <w:end w:w="120" w:type="dxa"/>
            </w:tcMar>
          </w:tcPr>
          <w:p>
            <w:pPr>
              <w:spacing w:before="0" w:after="0" w:line="252" w:lineRule="auto"/>
            </w:pPr>
            <w:r>
              <w:rPr>
                <w:rFonts w:ascii="Calibri" w:hAnsi="Calibri" w:eastAsia="Hiragino Sans GB"/>
                <w:b/>
                <w:color w:val="18864B"/>
                <w:sz w:val="16"/>
              </w:rPr>
              <w:t>pass · 6/6</w:t>
            </w:r>
          </w:p>
        </w:tc>
        <w:tc>
          <w:tcPr>
            <w:tcW w:type="dxa" w:w="5000"/>
            <w:tcMar>
              <w:top w:w="80" w:type="dxa"/>
              <w:bottom w:w="80" w:type="dxa"/>
              <w:start w:w="120" w:type="dxa"/>
              <w:end w:w="120" w:type="dxa"/>
            </w:tcMar>
          </w:tcPr>
          <w:p>
            <w:pPr>
              <w:spacing w:before="0" w:after="0" w:line="252" w:lineRule="auto"/>
            </w:pPr>
            <w:r>
              <w:rPr>
                <w:rFonts w:ascii="Calibri" w:hAnsi="Calibri" w:eastAsia="Hiragino Sans GB"/>
                <w:b w:val="0"/>
                <w:color w:val="111111"/>
                <w:sz w:val="17"/>
              </w:rPr>
              <w:t>每条操作结论均有证据映射</w:t>
            </w:r>
          </w:p>
        </w:tc>
      </w:tr>
      <w:tr>
        <w:trPr>
          <w:cantSplit/>
        </w:trPr>
        <w:tc>
          <w:tcPr>
            <w:tcW w:type="dxa" w:w="2500"/>
            <w:tcMar>
              <w:top w:w="80" w:type="dxa"/>
              <w:bottom w:w="80" w:type="dxa"/>
              <w:start w:w="120" w:type="dxa"/>
              <w:end w:w="120" w:type="dxa"/>
            </w:tcMar>
          </w:tcPr>
          <w:p>
            <w:pPr>
              <w:spacing w:before="0" w:after="0" w:line="252" w:lineRule="auto"/>
            </w:pPr>
            <w:r>
              <w:rPr>
                <w:rFonts w:ascii="Calibri" w:hAnsi="Calibri" w:eastAsia="Hiragino Sans GB"/>
                <w:b/>
                <w:color w:val="111111"/>
                <w:sz w:val="17"/>
              </w:rPr>
              <w:t>反向证据</w:t>
            </w:r>
          </w:p>
        </w:tc>
        <w:tc>
          <w:tcPr>
            <w:tcW w:type="dxa" w:w="1860"/>
            <w:tcMar>
              <w:top w:w="80" w:type="dxa"/>
              <w:bottom w:w="80" w:type="dxa"/>
              <w:start w:w="120" w:type="dxa"/>
              <w:end w:w="120" w:type="dxa"/>
            </w:tcMar>
          </w:tcPr>
          <w:p>
            <w:pPr>
              <w:spacing w:before="0" w:after="0" w:line="252" w:lineRule="auto"/>
            </w:pPr>
            <w:r>
              <w:rPr>
                <w:rFonts w:ascii="Calibri" w:hAnsi="Calibri" w:eastAsia="Hiragino Sans GB"/>
                <w:b/>
                <w:color w:val="18864B"/>
                <w:sz w:val="16"/>
              </w:rPr>
              <w:t>pass · 80</w:t>
            </w:r>
          </w:p>
        </w:tc>
        <w:tc>
          <w:tcPr>
            <w:tcW w:type="dxa" w:w="5000"/>
            <w:tcMar>
              <w:top w:w="80" w:type="dxa"/>
              <w:bottom w:w="80" w:type="dxa"/>
              <w:start w:w="120" w:type="dxa"/>
              <w:end w:w="120" w:type="dxa"/>
            </w:tcMar>
          </w:tcPr>
          <w:p>
            <w:pPr>
              <w:spacing w:before="0" w:after="0" w:line="252" w:lineRule="auto"/>
            </w:pPr>
            <w:r>
              <w:rPr>
                <w:rFonts w:ascii="Calibri" w:hAnsi="Calibri" w:eastAsia="Hiragino Sans GB"/>
                <w:b w:val="0"/>
                <w:color w:val="111111"/>
                <w:sz w:val="17"/>
              </w:rPr>
              <w:t>保留反向与挑战证据</w:t>
            </w:r>
          </w:p>
        </w:tc>
      </w:tr>
      <w:tr>
        <w:trPr>
          <w:cantSplit/>
        </w:trPr>
        <w:tc>
          <w:tcPr>
            <w:tcW w:type="dxa" w:w="2500"/>
            <w:tcMar>
              <w:top w:w="80" w:type="dxa"/>
              <w:bottom w:w="80" w:type="dxa"/>
              <w:start w:w="120" w:type="dxa"/>
              <w:end w:w="120" w:type="dxa"/>
            </w:tcMar>
          </w:tcPr>
          <w:p>
            <w:pPr>
              <w:spacing w:before="0" w:after="0" w:line="252" w:lineRule="auto"/>
            </w:pPr>
            <w:r>
              <w:rPr>
                <w:rFonts w:ascii="Calibri" w:hAnsi="Calibri" w:eastAsia="Hiragino Sans GB"/>
                <w:b/>
                <w:color w:val="111111"/>
                <w:sz w:val="17"/>
              </w:rPr>
              <w:t>上周基线</w:t>
            </w:r>
          </w:p>
        </w:tc>
        <w:tc>
          <w:tcPr>
            <w:tcW w:type="dxa" w:w="1860"/>
            <w:tcMar>
              <w:top w:w="80" w:type="dxa"/>
              <w:bottom w:w="80" w:type="dxa"/>
              <w:start w:w="120" w:type="dxa"/>
              <w:end w:w="120" w:type="dxa"/>
            </w:tcMar>
          </w:tcPr>
          <w:p>
            <w:pPr>
              <w:spacing w:before="0" w:after="0" w:line="252" w:lineRule="auto"/>
            </w:pPr>
            <w:r>
              <w:rPr>
                <w:rFonts w:ascii="Calibri" w:hAnsi="Calibri" w:eastAsia="Hiragino Sans GB"/>
                <w:b/>
                <w:color w:val="D85B16"/>
                <w:sz w:val="16"/>
              </w:rPr>
              <w:t>warn · baseline</w:t>
            </w:r>
          </w:p>
        </w:tc>
        <w:tc>
          <w:tcPr>
            <w:tcW w:type="dxa" w:w="5000"/>
            <w:tcMar>
              <w:top w:w="80" w:type="dxa"/>
              <w:bottom w:w="80" w:type="dxa"/>
              <w:start w:w="120" w:type="dxa"/>
              <w:end w:w="120" w:type="dxa"/>
            </w:tcMar>
          </w:tcPr>
          <w:p>
            <w:pPr>
              <w:spacing w:before="0" w:after="0" w:line="252" w:lineRule="auto"/>
            </w:pPr>
            <w:r>
              <w:rPr>
                <w:rFonts w:ascii="Calibri" w:hAnsi="Calibri" w:eastAsia="Hiragino Sans GB"/>
                <w:b w:val="0"/>
                <w:color w:val="111111"/>
                <w:sz w:val="17"/>
              </w:rPr>
              <w:t>是否具备可比较上周基线</w:t>
            </w:r>
          </w:p>
        </w:tc>
      </w:tr>
      <w:tr>
        <w:trPr>
          <w:cantSplit/>
        </w:trPr>
        <w:tc>
          <w:tcPr>
            <w:tcW w:type="dxa" w:w="2500"/>
            <w:tcMar>
              <w:top w:w="80" w:type="dxa"/>
              <w:bottom w:w="80" w:type="dxa"/>
              <w:start w:w="120" w:type="dxa"/>
              <w:end w:w="120" w:type="dxa"/>
            </w:tcMar>
          </w:tcPr>
          <w:p>
            <w:pPr>
              <w:spacing w:before="0" w:after="0" w:line="252" w:lineRule="auto"/>
            </w:pPr>
            <w:r>
              <w:rPr>
                <w:rFonts w:ascii="Calibri" w:hAnsi="Calibri" w:eastAsia="Hiragino Sans GB"/>
                <w:b/>
                <w:color w:val="111111"/>
                <w:sz w:val="17"/>
              </w:rPr>
              <w:t>结构化市场报价</w:t>
            </w:r>
          </w:p>
        </w:tc>
        <w:tc>
          <w:tcPr>
            <w:tcW w:type="dxa" w:w="1860"/>
            <w:tcMar>
              <w:top w:w="80" w:type="dxa"/>
              <w:bottom w:w="80" w:type="dxa"/>
              <w:start w:w="120" w:type="dxa"/>
              <w:end w:w="120" w:type="dxa"/>
            </w:tcMar>
          </w:tcPr>
          <w:p>
            <w:pPr>
              <w:spacing w:before="0" w:after="0" w:line="252" w:lineRule="auto"/>
            </w:pPr>
            <w:r>
              <w:rPr>
                <w:rFonts w:ascii="Calibri" w:hAnsi="Calibri" w:eastAsia="Hiragino Sans GB"/>
                <w:b/>
                <w:color w:val="D85B16"/>
                <w:sz w:val="16"/>
              </w:rPr>
              <w:t>warn · 0</w:t>
            </w:r>
          </w:p>
        </w:tc>
        <w:tc>
          <w:tcPr>
            <w:tcW w:type="dxa" w:w="5000"/>
            <w:tcMar>
              <w:top w:w="80" w:type="dxa"/>
              <w:bottom w:w="80" w:type="dxa"/>
              <w:start w:w="120" w:type="dxa"/>
              <w:end w:w="120" w:type="dxa"/>
            </w:tcMar>
          </w:tcPr>
          <w:p>
            <w:pPr>
              <w:spacing w:before="0" w:after="0" w:line="252" w:lineRule="auto"/>
            </w:pPr>
            <w:r>
              <w:rPr>
                <w:rFonts w:ascii="Calibri" w:hAnsi="Calibri" w:eastAsia="Hiragino Sans GB"/>
                <w:b w:val="0"/>
                <w:color w:val="111111"/>
                <w:sz w:val="17"/>
              </w:rPr>
              <w:t>是否具备结构化市场报价</w:t>
            </w:r>
          </w:p>
        </w:tc>
      </w:tr>
      <w:tr>
        <w:trPr>
          <w:cantSplit/>
        </w:trPr>
        <w:tc>
          <w:tcPr>
            <w:tcW w:type="dxa" w:w="2500"/>
            <w:tcMar>
              <w:top w:w="80" w:type="dxa"/>
              <w:bottom w:w="80" w:type="dxa"/>
              <w:start w:w="120" w:type="dxa"/>
              <w:end w:w="120" w:type="dxa"/>
            </w:tcMar>
          </w:tcPr>
          <w:p>
            <w:pPr>
              <w:spacing w:before="0" w:after="0" w:line="252" w:lineRule="auto"/>
            </w:pPr>
            <w:r>
              <w:rPr>
                <w:rFonts w:ascii="Calibri" w:hAnsi="Calibri" w:eastAsia="Hiragino Sans GB"/>
                <w:b/>
                <w:color w:val="111111"/>
                <w:sz w:val="17"/>
              </w:rPr>
              <w:t>人类友好综合</w:t>
            </w:r>
          </w:p>
        </w:tc>
        <w:tc>
          <w:tcPr>
            <w:tcW w:type="dxa" w:w="1860"/>
            <w:tcMar>
              <w:top w:w="80" w:type="dxa"/>
              <w:bottom w:w="80" w:type="dxa"/>
              <w:start w:w="120" w:type="dxa"/>
              <w:end w:w="120" w:type="dxa"/>
            </w:tcMar>
          </w:tcPr>
          <w:p>
            <w:pPr>
              <w:spacing w:before="0" w:after="0" w:line="252" w:lineRule="auto"/>
            </w:pPr>
            <w:r>
              <w:rPr>
                <w:rFonts w:ascii="Calibri" w:hAnsi="Calibri" w:eastAsia="Hiragino Sans GB"/>
                <w:b/>
                <w:color w:val="D85B16"/>
                <w:sz w:val="16"/>
              </w:rPr>
              <w:t>warn · deterministic_grounded</w:t>
            </w:r>
          </w:p>
        </w:tc>
        <w:tc>
          <w:tcPr>
            <w:tcW w:type="dxa" w:w="5000"/>
            <w:tcMar>
              <w:top w:w="80" w:type="dxa"/>
              <w:bottom w:w="80" w:type="dxa"/>
              <w:start w:w="120" w:type="dxa"/>
              <w:end w:w="120" w:type="dxa"/>
            </w:tcMar>
          </w:tcPr>
          <w:p>
            <w:pPr>
              <w:spacing w:before="0" w:after="0" w:line="252" w:lineRule="auto"/>
            </w:pPr>
            <w:r>
              <w:rPr>
                <w:rFonts w:ascii="Calibri" w:hAnsi="Calibri" w:eastAsia="Hiragino Sans GB"/>
                <w:b w:val="0"/>
                <w:color w:val="111111"/>
                <w:sz w:val="17"/>
              </w:rPr>
              <w:t>是否完成人类友好叙事综合</w:t>
            </w:r>
          </w:p>
        </w:tc>
      </w:tr>
    </w:tbl>
    <w:p>
      <w:pPr>
        <w:keepLines w:val="0"/>
      </w:pPr>
      <w:r>
        <w:rPr>
          <w:rFonts w:ascii="Calibri" w:hAnsi="Calibri" w:eastAsia="Hiragino Sans GB"/>
          <w:b/>
          <w:color w:val="C92A2A"/>
          <w:sz w:val="22"/>
        </w:rPr>
        <w:t>本版明确不发布：verified_market_performance · settled_forecast_hit_rate_and_brier</w:t>
      </w:r>
    </w:p>
    <w:p>
      <w:pPr>
        <w:keepLines w:val="0"/>
      </w:pPr>
      <w:r>
        <w:rPr>
          <w:rFonts w:ascii="Calibri" w:hAnsi="Calibri" w:eastAsia="Hiragino Sans GB"/>
          <w:b w:val="0"/>
          <w:color w:val="5E6268"/>
          <w:sz w:val="22"/>
        </w:rPr>
        <w:t>仅包含已发布研究合约、公开报告路径和可复查映射；不包含内部运行记录、鉴权或生产提示。</w:t>
      </w:r>
    </w:p>
    <w:p>
      <w:r>
        <w:br w:type="page"/>
      </w:r>
    </w:p>
    <w:p>
      <w:pPr>
        <w:pStyle w:val="SectionLabel"/>
      </w:pPr>
      <w:r>
        <w:rPr>
          <w:rFonts w:ascii="Calibri" w:hAnsi="Calibri" w:eastAsia="Hiragino Sans GB"/>
          <w:b/>
          <w:color w:val="1D5FD1"/>
          <w:sz w:val="17"/>
        </w:rPr>
        <w:t>PROVENANCE LEDGER</w:t>
      </w:r>
    </w:p>
    <w:p>
      <w:pPr>
        <w:pStyle w:val="Heading1"/>
      </w:pPr>
      <w:r>
        <w:t>9. 完整来源账本</w:t>
      </w:r>
    </w:p>
    <w:p>
      <w:pPr>
        <w:keepLines w:val="0"/>
      </w:pPr>
      <w:r>
        <w:rPr>
          <w:rFonts w:ascii="Calibri" w:hAnsi="Calibri" w:eastAsia="Hiragino Sans GB"/>
          <w:b w:val="0"/>
          <w:color w:val="111111"/>
          <w:sz w:val="22"/>
        </w:rPr>
        <w:t>共 80 条公开来源。标题可点击进入对应研究详情；本表保留日期、类别和主要证据角色。</w:t>
      </w:r>
    </w:p>
    <w:tbl>
      <w:tblPr>
        <w:tblW w:type="dxa" w:w="9360"/>
        <w:jc w:val="left"/>
        <w:tblLayout w:type="fixed"/>
        <w:tblLook w:firstColumn="1" w:firstRow="1" w:lastColumn="0" w:lastRow="0" w:noHBand="0" w:noVBand="1" w:val="04A0"/>
        <w:tblInd w:w="120" w:type="dxa"/>
        <w:tblBorders>
          <w:top w:val="single" w:sz="4" w:color="C8CDD3"/>
          <w:left w:val="single" w:sz="4" w:color="C8CDD3"/>
          <w:bottom w:val="single" w:sz="4" w:color="C8CDD3"/>
          <w:right w:val="single" w:sz="4" w:color="C8CDD3"/>
          <w:insideH w:val="single" w:sz="4" w:color="C8CDD3"/>
          <w:insideV w:val="single" w:sz="4" w:color="C8CDD3"/>
        </w:tblBorders>
      </w:tblPr>
      <w:tblGrid>
        <w:gridCol w:w="520"/>
        <w:gridCol w:w="1240"/>
        <w:gridCol w:w="5940"/>
        <w:gridCol w:w="1660"/>
      </w:tblGrid>
      <w:tr>
        <w:trPr>
          <w:cantSplit/>
          <w:tblHeader w:val="true"/>
        </w:trPr>
        <w:tc>
          <w:tcPr>
            <w:tcW w:type="dxa" w:w="52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5"/>
              </w:rPr>
              <w:t>NO.</w:t>
            </w:r>
          </w:p>
        </w:tc>
        <w:tc>
          <w:tcPr>
            <w:tcW w:type="dxa" w:w="124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5"/>
              </w:rPr>
              <w:t>DATE</w:t>
            </w:r>
          </w:p>
        </w:tc>
        <w:tc>
          <w:tcPr>
            <w:tcW w:type="dxa" w:w="594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5"/>
              </w:rPr>
              <w:t>REPORT</w:t>
            </w:r>
          </w:p>
        </w:tc>
        <w:tc>
          <w:tcPr>
            <w:tcW w:type="dxa" w:w="1660"/>
            <w:tcMar>
              <w:top w:w="80" w:type="dxa"/>
              <w:bottom w:w="80" w:type="dxa"/>
              <w:start w:w="120" w:type="dxa"/>
              <w:end w:w="120" w:type="dxa"/>
            </w:tcMar>
            <w:vAlign w:val="top"/>
            <w:shd w:fill="F2F4F7"/>
          </w:tcPr>
          <w:p>
            <w:pPr>
              <w:spacing w:before="0" w:after="0" w:line="252" w:lineRule="auto"/>
            </w:pPr>
            <w:r>
              <w:rPr>
                <w:rFonts w:ascii="Calibri" w:hAnsi="Calibri" w:eastAsia="Hiragino Sans GB"/>
                <w:b/>
                <w:color w:val="1D5FD1"/>
                <w:sz w:val="15"/>
              </w:rPr>
              <w:t>ROLE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01</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2026-07-14</w:t>
            </w:r>
          </w:p>
        </w:tc>
        <w:tc>
          <w:tcPr>
            <w:tcW w:type="dxa" w:w="5940"/>
            <w:tcMar>
              <w:top w:w="80" w:type="dxa"/>
              <w:bottom w:w="80" w:type="dxa"/>
              <w:start w:w="120" w:type="dxa"/>
              <w:end w:w="120" w:type="dxa"/>
            </w:tcMar>
          </w:tcPr>
          <w:p>
            <w:pPr>
              <w:spacing w:after="20"/>
            </w:pPr>
            <w:hyperlink r:id="rId19">
              <w:r>
                <w:rPr>
                  <w:color w:val="1D5FD1"/>
                  <w:u w:val="single"/>
                  <w:b/>
                  <w:sz w:val="16"/>
                  <w:szCs w:val="16"/>
                  <w:rFonts w:ascii="Calibri" w:hAnsi="Calibri" w:eastAsia="Hiragino Sans GB"/>
                </w:rPr>
                <w:t>原油市场监测：WTI/Brent、OPEC+、库存</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02</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2026-07-14</w:t>
            </w:r>
          </w:p>
        </w:tc>
        <w:tc>
          <w:tcPr>
            <w:tcW w:type="dxa" w:w="5940"/>
            <w:tcMar>
              <w:top w:w="80" w:type="dxa"/>
              <w:bottom w:w="80" w:type="dxa"/>
              <w:start w:w="120" w:type="dxa"/>
              <w:end w:w="120" w:type="dxa"/>
            </w:tcMar>
          </w:tcPr>
          <w:p>
            <w:pPr>
              <w:spacing w:after="20"/>
            </w:pPr>
            <w:hyperlink r:id="rId69">
              <w:r>
                <w:rPr>
                  <w:color w:val="1D5FD1"/>
                  <w:u w:val="single"/>
                  <w:b/>
                  <w:sz w:val="16"/>
                  <w:szCs w:val="16"/>
                  <w:rFonts w:ascii="Calibri" w:hAnsi="Calibri" w:eastAsia="Hiragino Sans GB"/>
                </w:rPr>
                <w:t>§1 THESIS</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03</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2026-07-14</w:t>
            </w:r>
          </w:p>
        </w:tc>
        <w:tc>
          <w:tcPr>
            <w:tcW w:type="dxa" w:w="5940"/>
            <w:tcMar>
              <w:top w:w="80" w:type="dxa"/>
              <w:bottom w:w="80" w:type="dxa"/>
              <w:start w:w="120" w:type="dxa"/>
              <w:end w:w="120" w:type="dxa"/>
            </w:tcMar>
          </w:tcPr>
          <w:p>
            <w:pPr>
              <w:spacing w:after="20"/>
            </w:pPr>
            <w:hyperlink r:id="rId20">
              <w:r>
                <w:rPr>
                  <w:color w:val="1D5FD1"/>
                  <w:u w:val="single"/>
                  <w:b/>
                  <w:sz w:val="16"/>
                  <w:szCs w:val="16"/>
                  <w:rFonts w:ascii="Calibri" w:hAnsi="Calibri" w:eastAsia="Hiragino Sans GB"/>
                </w:rPr>
                <w:t>A股主题与行业轮动日报 (2026-07-14)</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lane_evidence / stock_evidence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04</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2026-07-14</w:t>
            </w:r>
          </w:p>
        </w:tc>
        <w:tc>
          <w:tcPr>
            <w:tcW w:type="dxa" w:w="5940"/>
            <w:tcMar>
              <w:top w:w="80" w:type="dxa"/>
              <w:bottom w:w="80" w:type="dxa"/>
              <w:start w:w="120" w:type="dxa"/>
              <w:end w:w="120" w:type="dxa"/>
            </w:tcMar>
          </w:tcPr>
          <w:p>
            <w:pPr>
              <w:spacing w:after="20"/>
            </w:pPr>
            <w:hyperlink r:id="rId34">
              <w:r>
                <w:rPr>
                  <w:color w:val="1D5FD1"/>
                  <w:u w:val="single"/>
                  <w:b/>
                  <w:sz w:val="16"/>
                  <w:szCs w:val="16"/>
                  <w:rFonts w:ascii="Calibri" w:hAnsi="Calibri" w:eastAsia="Hiragino Sans GB"/>
                </w:rPr>
                <w:t>A股风格轮动信号日报</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lane_evidence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05</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2026-07-14</w:t>
            </w:r>
          </w:p>
        </w:tc>
        <w:tc>
          <w:tcPr>
            <w:tcW w:type="dxa" w:w="5940"/>
            <w:tcMar>
              <w:top w:w="80" w:type="dxa"/>
              <w:bottom w:w="80" w:type="dxa"/>
              <w:start w:w="120" w:type="dxa"/>
              <w:end w:w="120" w:type="dxa"/>
            </w:tcMar>
          </w:tcPr>
          <w:p>
            <w:pPr>
              <w:spacing w:after="20"/>
            </w:pPr>
            <w:hyperlink r:id="rId23">
              <w:r>
                <w:rPr>
                  <w:color w:val="1D5FD1"/>
                  <w:u w:val="single"/>
                  <w:b/>
                  <w:sz w:val="16"/>
                  <w:szCs w:val="16"/>
                  <w:rFonts w:ascii="Calibri" w:hAnsi="Calibri" w:eastAsia="Hiragino Sans GB"/>
                </w:rPr>
                <w:t>隔夜社交舆情研究候选</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06</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2026-07-14</w:t>
            </w:r>
          </w:p>
        </w:tc>
        <w:tc>
          <w:tcPr>
            <w:tcW w:type="dxa" w:w="5940"/>
            <w:tcMar>
              <w:top w:w="80" w:type="dxa"/>
              <w:bottom w:w="80" w:type="dxa"/>
              <w:start w:w="120" w:type="dxa"/>
              <w:end w:w="120" w:type="dxa"/>
            </w:tcMar>
          </w:tcPr>
          <w:p>
            <w:pPr>
              <w:spacing w:after="20"/>
            </w:pPr>
            <w:hyperlink r:id="rId70">
              <w:r>
                <w:rPr>
                  <w:color w:val="1D5FD1"/>
                  <w:u w:val="single"/>
                  <w:b/>
                  <w:sz w:val="16"/>
                  <w:szCs w:val="16"/>
                  <w:rFonts w:ascii="Calibri" w:hAnsi="Calibri" w:eastAsia="Hiragino Sans GB"/>
                </w:rPr>
                <w:t>2026-07-14 A股AI/半导体与医药板块最终组合指令整合报告</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lane_evidence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07</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2026-07-14</w:t>
            </w:r>
          </w:p>
        </w:tc>
        <w:tc>
          <w:tcPr>
            <w:tcW w:type="dxa" w:w="5940"/>
            <w:tcMar>
              <w:top w:w="80" w:type="dxa"/>
              <w:bottom w:w="80" w:type="dxa"/>
              <w:start w:w="120" w:type="dxa"/>
              <w:end w:w="120" w:type="dxa"/>
            </w:tcMar>
          </w:tcPr>
          <w:p>
            <w:pPr>
              <w:spacing w:after="20"/>
            </w:pPr>
            <w:hyperlink r:id="rId71">
              <w:r>
                <w:rPr>
                  <w:color w:val="1D5FD1"/>
                  <w:u w:val="single"/>
                  <w:b/>
                  <w:sz w:val="16"/>
                  <w:szCs w:val="16"/>
                  <w:rFonts w:ascii="Calibri" w:hAnsi="Calibri" w:eastAsia="Hiragino Sans GB"/>
                </w:rPr>
                <w:t>USD/KRW 1,530 破位压力测试：韩国央行政策摊牌、日元套息逆转与亚洲汇率传染</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lane_evidence / stock_evidence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08</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2026-07-14</w:t>
            </w:r>
          </w:p>
        </w:tc>
        <w:tc>
          <w:tcPr>
            <w:tcW w:type="dxa" w:w="5940"/>
            <w:tcMar>
              <w:top w:w="80" w:type="dxa"/>
              <w:bottom w:w="80" w:type="dxa"/>
              <w:start w:w="120" w:type="dxa"/>
              <w:end w:w="120" w:type="dxa"/>
            </w:tcMar>
          </w:tcPr>
          <w:p>
            <w:pPr>
              <w:spacing w:after="20"/>
            </w:pPr>
            <w:hyperlink r:id="rId72">
              <w:r>
                <w:rPr>
                  <w:color w:val="1D5FD1"/>
                  <w:u w:val="single"/>
                  <w:b/>
                  <w:sz w:val="16"/>
                  <w:szCs w:val="16"/>
                  <w:rFonts w:ascii="Calibri" w:hAnsi="Calibri" w:eastAsia="Hiragino Sans GB"/>
                </w:rPr>
                <w:t>从外汇传染到组合层：SK海力士套息逆转尾部的全天候／风险平价应对手册</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stock_evidence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09</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2026-07-14</w:t>
            </w:r>
          </w:p>
        </w:tc>
        <w:tc>
          <w:tcPr>
            <w:tcW w:type="dxa" w:w="5940"/>
            <w:tcMar>
              <w:top w:w="80" w:type="dxa"/>
              <w:bottom w:w="80" w:type="dxa"/>
              <w:start w:w="120" w:type="dxa"/>
              <w:end w:w="120" w:type="dxa"/>
            </w:tcMar>
          </w:tcPr>
          <w:p>
            <w:pPr>
              <w:spacing w:after="20"/>
            </w:pPr>
            <w:hyperlink r:id="rId73">
              <w:r>
                <w:rPr>
                  <w:color w:val="1D5FD1"/>
                  <w:u w:val="single"/>
                  <w:b/>
                  <w:sz w:val="16"/>
                  <w:szCs w:val="16"/>
                  <w:rFonts w:ascii="Calibri" w:hAnsi="Calibri" w:eastAsia="Hiragino Sans GB"/>
                </w:rPr>
                <w:t>工业制造午间碰头会简报（2026-07-14）</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stock_evidence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10</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2026-07-14</w:t>
            </w:r>
          </w:p>
        </w:tc>
        <w:tc>
          <w:tcPr>
            <w:tcW w:type="dxa" w:w="5940"/>
            <w:tcMar>
              <w:top w:w="80" w:type="dxa"/>
              <w:bottom w:w="80" w:type="dxa"/>
              <w:start w:w="120" w:type="dxa"/>
              <w:end w:w="120" w:type="dxa"/>
            </w:tcMar>
          </w:tcPr>
          <w:p>
            <w:pPr>
              <w:spacing w:after="20"/>
            </w:pPr>
            <w:hyperlink r:id="rId74">
              <w:r>
                <w:rPr>
                  <w:color w:val="1D5FD1"/>
                  <w:u w:val="single"/>
                  <w:b/>
                  <w:sz w:val="16"/>
                  <w:szCs w:val="16"/>
                  <w:rFonts w:ascii="Calibri" w:hAnsi="Calibri" w:eastAsia="Hiragino Sans GB"/>
                </w:rPr>
                <w:t>房地产行业午间同步简报 (2026-07-14)</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11</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2026-07-14</w:t>
            </w:r>
          </w:p>
        </w:tc>
        <w:tc>
          <w:tcPr>
            <w:tcW w:type="dxa" w:w="5940"/>
            <w:tcMar>
              <w:top w:w="80" w:type="dxa"/>
              <w:bottom w:w="80" w:type="dxa"/>
              <w:start w:w="120" w:type="dxa"/>
              <w:end w:w="120" w:type="dxa"/>
            </w:tcMar>
          </w:tcPr>
          <w:p>
            <w:pPr>
              <w:spacing w:after="20"/>
            </w:pPr>
            <w:hyperlink r:id="rId75">
              <w:r>
                <w:rPr>
                  <w:color w:val="1D5FD1"/>
                  <w:u w:val="single"/>
                  <w:b/>
                  <w:sz w:val="16"/>
                  <w:szCs w:val="16"/>
                  <w:rFonts w:ascii="Calibri" w:hAnsi="Calibri" w:eastAsia="Hiragino Sans GB"/>
                </w:rPr>
                <w:t>投委会午间同步简报（2026-07-14）</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12</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2026-07-14</w:t>
            </w:r>
          </w:p>
        </w:tc>
        <w:tc>
          <w:tcPr>
            <w:tcW w:type="dxa" w:w="5940"/>
            <w:tcMar>
              <w:top w:w="80" w:type="dxa"/>
              <w:bottom w:w="80" w:type="dxa"/>
              <w:start w:w="120" w:type="dxa"/>
              <w:end w:w="120" w:type="dxa"/>
            </w:tcMar>
          </w:tcPr>
          <w:p>
            <w:pPr>
              <w:spacing w:after="20"/>
            </w:pPr>
            <w:hyperlink r:id="rId76">
              <w:r>
                <w:rPr>
                  <w:color w:val="1D5FD1"/>
                  <w:u w:val="single"/>
                  <w:b/>
                  <w:sz w:val="16"/>
                  <w:szCs w:val="16"/>
                  <w:rFonts w:ascii="Calibri" w:hAnsi="Calibri" w:eastAsia="Hiragino Sans GB"/>
                </w:rPr>
                <w:t>数据科学家午间同步简报 (2026-07-14)</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13</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2026-07-14</w:t>
            </w:r>
          </w:p>
        </w:tc>
        <w:tc>
          <w:tcPr>
            <w:tcW w:type="dxa" w:w="5940"/>
            <w:tcMar>
              <w:top w:w="80" w:type="dxa"/>
              <w:bottom w:w="80" w:type="dxa"/>
              <w:start w:w="120" w:type="dxa"/>
              <w:end w:w="120" w:type="dxa"/>
            </w:tcMar>
          </w:tcPr>
          <w:p>
            <w:pPr>
              <w:spacing w:after="20"/>
            </w:pPr>
            <w:hyperlink r:id="rId77">
              <w:r>
                <w:rPr>
                  <w:color w:val="1D5FD1"/>
                  <w:u w:val="single"/>
                  <w:b/>
                  <w:sz w:val="16"/>
                  <w:szCs w:val="16"/>
                  <w:rFonts w:ascii="Calibri" w:hAnsi="Calibri" w:eastAsia="Hiragino Sans GB"/>
                </w:rPr>
                <w:t>深研主编午间碰头会简报（2026-07-14）</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stock_evidence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14</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2026-07-14</w:t>
            </w:r>
          </w:p>
        </w:tc>
        <w:tc>
          <w:tcPr>
            <w:tcW w:type="dxa" w:w="5940"/>
            <w:tcMar>
              <w:top w:w="80" w:type="dxa"/>
              <w:bottom w:w="80" w:type="dxa"/>
              <w:start w:w="120" w:type="dxa"/>
              <w:end w:w="120" w:type="dxa"/>
            </w:tcMar>
          </w:tcPr>
          <w:p>
            <w:pPr>
              <w:spacing w:after="20"/>
            </w:pPr>
            <w:hyperlink r:id="rId27">
              <w:r>
                <w:rPr>
                  <w:color w:val="1D5FD1"/>
                  <w:u w:val="single"/>
                  <w:b/>
                  <w:sz w:val="16"/>
                  <w:szCs w:val="16"/>
                  <w:rFonts w:ascii="Calibri" w:hAnsi="Calibri" w:eastAsia="Hiragino Sans GB"/>
                </w:rPr>
                <w:t>A股餐饮供应链与酒店现金转化验证 — 2026-07-14 [S0]</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15</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2026-07-14</w:t>
            </w:r>
          </w:p>
        </w:tc>
        <w:tc>
          <w:tcPr>
            <w:tcW w:type="dxa" w:w="5940"/>
            <w:tcMar>
              <w:top w:w="80" w:type="dxa"/>
              <w:bottom w:w="80" w:type="dxa"/>
              <w:start w:w="120" w:type="dxa"/>
              <w:end w:w="120" w:type="dxa"/>
            </w:tcMar>
          </w:tcPr>
          <w:p>
            <w:pPr>
              <w:spacing w:after="20"/>
            </w:pPr>
            <w:hyperlink r:id="rId35">
              <w:r>
                <w:rPr>
                  <w:color w:val="1D5FD1"/>
                  <w:u w:val="single"/>
                  <w:b/>
                  <w:sz w:val="16"/>
                  <w:szCs w:val="16"/>
                  <w:rFonts w:ascii="Calibri" w:hAnsi="Calibri" w:eastAsia="Hiragino Sans GB"/>
                </w:rPr>
                <w:t>投资组合在险价值 (VaR) 风险突破警示与风险贡献者深度剖析报告</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16</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2026-07-14</w:t>
            </w:r>
          </w:p>
        </w:tc>
        <w:tc>
          <w:tcPr>
            <w:tcW w:type="dxa" w:w="5940"/>
            <w:tcMar>
              <w:top w:w="80" w:type="dxa"/>
              <w:bottom w:w="80" w:type="dxa"/>
              <w:start w:w="120" w:type="dxa"/>
              <w:end w:w="120" w:type="dxa"/>
            </w:tcMar>
          </w:tcPr>
          <w:p>
            <w:pPr>
              <w:spacing w:after="20"/>
            </w:pPr>
            <w:hyperlink r:id="rId29">
              <w:r>
                <w:rPr>
                  <w:color w:val="1D5FD1"/>
                  <w:u w:val="single"/>
                  <w:b/>
                  <w:sz w:val="16"/>
                  <w:szCs w:val="16"/>
                  <w:rFonts w:ascii="Calibri" w:hAnsi="Calibri" w:eastAsia="Hiragino Sans GB"/>
                </w:rPr>
                <w:t>每日市场风险报告</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stock_evidence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17</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2026-07-14</w:t>
            </w:r>
          </w:p>
        </w:tc>
        <w:tc>
          <w:tcPr>
            <w:tcW w:type="dxa" w:w="5940"/>
            <w:tcMar>
              <w:top w:w="80" w:type="dxa"/>
              <w:bottom w:w="80" w:type="dxa"/>
              <w:start w:w="120" w:type="dxa"/>
              <w:end w:w="120" w:type="dxa"/>
            </w:tcMar>
          </w:tcPr>
          <w:p>
            <w:pPr>
              <w:spacing w:after="20"/>
            </w:pPr>
            <w:hyperlink r:id="rId26">
              <w:r>
                <w:rPr>
                  <w:color w:val="1D5FD1"/>
                  <w:u w:val="single"/>
                  <w:b/>
                  <w:sz w:val="16"/>
                  <w:szCs w:val="16"/>
                  <w:rFonts w:ascii="Calibri" w:hAnsi="Calibri" w:eastAsia="Hiragino Sans GB"/>
                </w:rPr>
                <w:t>2026-07-14 A股消费服务代理篮子：半年报前袖套内再平衡</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18</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2026-07-14</w:t>
            </w:r>
          </w:p>
        </w:tc>
        <w:tc>
          <w:tcPr>
            <w:tcW w:type="dxa" w:w="5940"/>
            <w:tcMar>
              <w:top w:w="80" w:type="dxa"/>
              <w:bottom w:w="80" w:type="dxa"/>
              <w:start w:w="120" w:type="dxa"/>
              <w:end w:w="120" w:type="dxa"/>
            </w:tcMar>
          </w:tcPr>
          <w:p>
            <w:pPr>
              <w:spacing w:after="20"/>
            </w:pPr>
            <w:hyperlink r:id="rId78">
              <w:r>
                <w:rPr>
                  <w:color w:val="1D5FD1"/>
                  <w:u w:val="single"/>
                  <w:b/>
                  <w:sz w:val="16"/>
                  <w:szCs w:val="16"/>
                  <w:rFonts w:ascii="Calibri" w:hAnsi="Calibri" w:eastAsia="Hiragino Sans GB"/>
                </w:rPr>
                <w:t>全球外汇日报</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19</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2026-07-14</w:t>
            </w:r>
          </w:p>
        </w:tc>
        <w:tc>
          <w:tcPr>
            <w:tcW w:type="dxa" w:w="5940"/>
            <w:tcMar>
              <w:top w:w="80" w:type="dxa"/>
              <w:bottom w:w="80" w:type="dxa"/>
              <w:start w:w="120" w:type="dxa"/>
              <w:end w:w="120" w:type="dxa"/>
            </w:tcMar>
          </w:tcPr>
          <w:p>
            <w:pPr>
              <w:spacing w:after="20"/>
            </w:pPr>
            <w:hyperlink r:id="rId79">
              <w:r>
                <w:rPr>
                  <w:color w:val="1D5FD1"/>
                  <w:u w:val="single"/>
                  <w:b/>
                  <w:sz w:val="16"/>
                  <w:szCs w:val="16"/>
                  <w:rFonts w:ascii="Calibri" w:hAnsi="Calibri" w:eastAsia="Hiragino Sans GB"/>
                </w:rPr>
                <w:t>压力测试：Q2 2026 中国宏观数据与内需政策能否把食品加工从"合规 alpha"推向"需求 beta"？</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20</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2026-07-14</w:t>
            </w:r>
          </w:p>
        </w:tc>
        <w:tc>
          <w:tcPr>
            <w:tcW w:type="dxa" w:w="5940"/>
            <w:tcMar>
              <w:top w:w="80" w:type="dxa"/>
              <w:bottom w:w="80" w:type="dxa"/>
              <w:start w:w="120" w:type="dxa"/>
              <w:end w:w="120" w:type="dxa"/>
            </w:tcMar>
          </w:tcPr>
          <w:p>
            <w:pPr>
              <w:spacing w:after="20"/>
            </w:pPr>
            <w:hyperlink r:id="rId80">
              <w:r>
                <w:rPr>
                  <w:color w:val="1D5FD1"/>
                  <w:u w:val="single"/>
                  <w:b/>
                  <w:sz w:val="16"/>
                  <w:szCs w:val="16"/>
                  <w:rFonts w:ascii="Calibri" w:hAnsi="Calibri" w:eastAsia="Hiragino Sans GB"/>
                </w:rPr>
                <w:t>2026-07-14 | 油价冲击叠加科技去杠杆，AI主线从需求叙事转向可交付电力</w:t>
              </w:r>
            </w:hyperlink>
            <w:r>
              <w:rPr>
                <w:rFonts w:ascii="Calibri" w:hAnsi="Calibri" w:eastAsia="Hiragino Sans GB"/>
                <w:color w:val="5E6268"/>
                <w:sz w:val="14"/>
              </w:rPr>
              <w:br/>
              <w:t>AI Institute 综合编辑 · Reader report</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daily_synthesis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21</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2026-07-14</w:t>
            </w:r>
          </w:p>
        </w:tc>
        <w:tc>
          <w:tcPr>
            <w:tcW w:type="dxa" w:w="5940"/>
            <w:tcMar>
              <w:top w:w="80" w:type="dxa"/>
              <w:bottom w:w="80" w:type="dxa"/>
              <w:start w:w="120" w:type="dxa"/>
              <w:end w:w="120" w:type="dxa"/>
            </w:tcMar>
          </w:tcPr>
          <w:p>
            <w:pPr>
              <w:spacing w:after="20"/>
            </w:pPr>
            <w:hyperlink r:id="rId81">
              <w:r>
                <w:rPr>
                  <w:color w:val="1D5FD1"/>
                  <w:u w:val="single"/>
                  <w:b/>
                  <w:sz w:val="16"/>
                  <w:szCs w:val="16"/>
                  <w:rFonts w:ascii="Calibri" w:hAnsi="Calibri" w:eastAsia="Hiragino Sans GB"/>
                </w:rPr>
                <w:t>前序研究决策报告：截至 2026-07-14 的 6月/Q2 宏观数据前瞻与食品加工仓位调整规则</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22</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2026-07-14</w:t>
            </w:r>
          </w:p>
        </w:tc>
        <w:tc>
          <w:tcPr>
            <w:tcW w:type="dxa" w:w="5940"/>
            <w:tcMar>
              <w:top w:w="80" w:type="dxa"/>
              <w:bottom w:w="80" w:type="dxa"/>
              <w:start w:w="120" w:type="dxa"/>
              <w:end w:w="120" w:type="dxa"/>
            </w:tcMar>
          </w:tcPr>
          <w:p>
            <w:pPr>
              <w:spacing w:after="20"/>
            </w:pPr>
            <w:hyperlink r:id="rId25">
              <w:r>
                <w:rPr>
                  <w:color w:val="1D5FD1"/>
                  <w:u w:val="single"/>
                  <w:b/>
                  <w:sz w:val="16"/>
                  <w:szCs w:val="16"/>
                  <w:rFonts w:ascii="Calibri" w:hAnsi="Calibri" w:eastAsia="Hiragino Sans GB"/>
                </w:rPr>
                <w:t>前序研究策略评估：2026-07-15 宏观数据落地后复核食品加工调仓触发条件</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23</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2026-07-14</w:t>
            </w:r>
          </w:p>
        </w:tc>
        <w:tc>
          <w:tcPr>
            <w:tcW w:type="dxa" w:w="5940"/>
            <w:tcMar>
              <w:top w:w="80" w:type="dxa"/>
              <w:bottom w:w="80" w:type="dxa"/>
              <w:start w:w="120" w:type="dxa"/>
              <w:end w:w="120" w:type="dxa"/>
            </w:tcMar>
          </w:tcPr>
          <w:p>
            <w:pPr>
              <w:spacing w:after="20"/>
            </w:pPr>
            <w:hyperlink r:id="rId30">
              <w:r>
                <w:rPr>
                  <w:color w:val="1D5FD1"/>
                  <w:u w:val="single"/>
                  <w:b/>
                  <w:sz w:val="16"/>
                  <w:szCs w:val="16"/>
                  <w:rFonts w:ascii="Calibri" w:hAnsi="Calibri" w:eastAsia="Hiragino Sans GB"/>
                </w:rPr>
                <w:t>首席风控官午间碰头会简报 (2026-07-14)</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24</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2026-07-14</w:t>
            </w:r>
          </w:p>
        </w:tc>
        <w:tc>
          <w:tcPr>
            <w:tcW w:type="dxa" w:w="5940"/>
            <w:tcMar>
              <w:top w:w="80" w:type="dxa"/>
              <w:bottom w:w="80" w:type="dxa"/>
              <w:start w:w="120" w:type="dxa"/>
              <w:end w:w="120" w:type="dxa"/>
            </w:tcMar>
          </w:tcPr>
          <w:p>
            <w:pPr>
              <w:spacing w:after="20"/>
            </w:pPr>
            <w:hyperlink r:id="rId82">
              <w:r>
                <w:rPr>
                  <w:color w:val="1D5FD1"/>
                  <w:u w:val="single"/>
                  <w:b/>
                  <w:sz w:val="16"/>
                  <w:szCs w:val="16"/>
                  <w:rFonts w:ascii="Calibri" w:hAnsi="Calibri" w:eastAsia="Hiragino Sans GB"/>
                </w:rPr>
                <w:t>隔夜替代数据扫描：半导体出口强劲与存储板块超跌的分歧 — 2026-07-14 (周二)</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25</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2026-07-14</w:t>
            </w:r>
          </w:p>
        </w:tc>
        <w:tc>
          <w:tcPr>
            <w:tcW w:type="dxa" w:w="5940"/>
            <w:tcMar>
              <w:top w:w="80" w:type="dxa"/>
              <w:bottom w:w="80" w:type="dxa"/>
              <w:start w:w="120" w:type="dxa"/>
              <w:end w:w="120" w:type="dxa"/>
            </w:tcMar>
          </w:tcPr>
          <w:p>
            <w:pPr>
              <w:spacing w:after="20"/>
            </w:pPr>
            <w:hyperlink r:id="rId83">
              <w:r>
                <w:rPr>
                  <w:color w:val="1D5FD1"/>
                  <w:u w:val="single"/>
                  <w:b/>
                  <w:sz w:val="16"/>
                  <w:szCs w:val="16"/>
                  <w:rFonts w:ascii="Calibri" w:hAnsi="Calibri" w:eastAsia="Hiragino Sans GB"/>
                </w:rPr>
                <w:t>2026年7月中旬主要粮食品种价格走势与供需形势分析报告</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26</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2026-07-14</w:t>
            </w:r>
          </w:p>
        </w:tc>
        <w:tc>
          <w:tcPr>
            <w:tcW w:type="dxa" w:w="5940"/>
            <w:tcMar>
              <w:top w:w="80" w:type="dxa"/>
              <w:bottom w:w="80" w:type="dxa"/>
              <w:start w:w="120" w:type="dxa"/>
              <w:end w:w="120" w:type="dxa"/>
            </w:tcMar>
          </w:tcPr>
          <w:p>
            <w:pPr>
              <w:spacing w:after="20"/>
            </w:pPr>
            <w:hyperlink r:id="rId84">
              <w:r>
                <w:rPr>
                  <w:color w:val="1D5FD1"/>
                  <w:u w:val="single"/>
                  <w:b/>
                  <w:sz w:val="16"/>
                  <w:szCs w:val="16"/>
                  <w:rFonts w:ascii="Calibri" w:hAnsi="Calibri" w:eastAsia="Hiragino Sans GB"/>
                </w:rPr>
                <w:t>市场情绪午间同步简报（2026-07-14）</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27</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2026-07-14</w:t>
            </w:r>
          </w:p>
        </w:tc>
        <w:tc>
          <w:tcPr>
            <w:tcW w:type="dxa" w:w="5940"/>
            <w:tcMar>
              <w:top w:w="80" w:type="dxa"/>
              <w:bottom w:w="80" w:type="dxa"/>
              <w:start w:w="120" w:type="dxa"/>
              <w:end w:w="120" w:type="dxa"/>
            </w:tcMar>
          </w:tcPr>
          <w:p>
            <w:pPr>
              <w:spacing w:after="20"/>
            </w:pPr>
            <w:hyperlink r:id="rId85">
              <w:r>
                <w:rPr>
                  <w:color w:val="1D5FD1"/>
                  <w:u w:val="single"/>
                  <w:b/>
                  <w:sz w:val="16"/>
                  <w:szCs w:val="16"/>
                  <w:rFonts w:ascii="Calibri" w:hAnsi="Calibri" w:eastAsia="Hiragino Sans GB"/>
                </w:rPr>
                <w:t>医药行业午间碰头会简报 (2026-07-14)</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28</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2026-07-14</w:t>
            </w:r>
          </w:p>
        </w:tc>
        <w:tc>
          <w:tcPr>
            <w:tcW w:type="dxa" w:w="5940"/>
            <w:tcMar>
              <w:top w:w="80" w:type="dxa"/>
              <w:bottom w:w="80" w:type="dxa"/>
              <w:start w:w="120" w:type="dxa"/>
              <w:end w:w="120" w:type="dxa"/>
            </w:tcMar>
          </w:tcPr>
          <w:p>
            <w:pPr>
              <w:spacing w:after="20"/>
            </w:pPr>
            <w:hyperlink r:id="rId18">
              <w:r>
                <w:rPr>
                  <w:color w:val="1D5FD1"/>
                  <w:u w:val="single"/>
                  <w:b/>
                  <w:sz w:val="16"/>
                  <w:szCs w:val="16"/>
                  <w:rFonts w:ascii="Calibri" w:hAnsi="Calibri" w:eastAsia="Hiragino Sans GB"/>
                </w:rPr>
                <w:t>2026-07-15宏观数据发布前后的A股风格切换五闸门检验，及碳阿尔法A/B/C篮子的动态执行</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29</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2026-07-14</w:t>
            </w:r>
          </w:p>
        </w:tc>
        <w:tc>
          <w:tcPr>
            <w:tcW w:type="dxa" w:w="5940"/>
            <w:tcMar>
              <w:top w:w="80" w:type="dxa"/>
              <w:bottom w:w="80" w:type="dxa"/>
              <w:start w:w="120" w:type="dxa"/>
              <w:end w:w="120" w:type="dxa"/>
            </w:tcMar>
          </w:tcPr>
          <w:p>
            <w:pPr>
              <w:spacing w:after="20"/>
            </w:pPr>
            <w:hyperlink r:id="rId86">
              <w:r>
                <w:rPr>
                  <w:color w:val="1D5FD1"/>
                  <w:u w:val="single"/>
                  <w:b/>
                  <w:sz w:val="16"/>
                  <w:szCs w:val="16"/>
                  <w:rFonts w:ascii="Calibri" w:hAnsi="Calibri" w:eastAsia="Hiragino Sans GB"/>
                </w:rPr>
                <w:t>2026-07-14 策略卡：极薄霍尔木兹供给缓冲下的多资产防线</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30</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2026-07-14</w:t>
            </w:r>
          </w:p>
        </w:tc>
        <w:tc>
          <w:tcPr>
            <w:tcW w:type="dxa" w:w="5940"/>
            <w:tcMar>
              <w:top w:w="80" w:type="dxa"/>
              <w:bottom w:w="80" w:type="dxa"/>
              <w:start w:w="120" w:type="dxa"/>
              <w:end w:w="120" w:type="dxa"/>
            </w:tcMar>
          </w:tcPr>
          <w:p>
            <w:pPr>
              <w:spacing w:after="20"/>
            </w:pPr>
            <w:hyperlink r:id="rId87">
              <w:r>
                <w:rPr>
                  <w:color w:val="1D5FD1"/>
                  <w:u w:val="single"/>
                  <w:b/>
                  <w:sz w:val="16"/>
                  <w:szCs w:val="16"/>
                  <w:rFonts w:ascii="Calibri" w:hAnsi="Calibri" w:eastAsia="Hiragino Sans GB"/>
                </w:rPr>
                <w:t>前序研究策略综合：2026-07-15 宏观数据公布前，食品加工维持 4%-6% 质量底仓</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31</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2026-07-14</w:t>
            </w:r>
          </w:p>
        </w:tc>
        <w:tc>
          <w:tcPr>
            <w:tcW w:type="dxa" w:w="5940"/>
            <w:tcMar>
              <w:top w:w="80" w:type="dxa"/>
              <w:bottom w:w="80" w:type="dxa"/>
              <w:start w:w="120" w:type="dxa"/>
              <w:end w:w="120" w:type="dxa"/>
            </w:tcMar>
          </w:tcPr>
          <w:p>
            <w:pPr>
              <w:spacing w:after="20"/>
            </w:pPr>
            <w:hyperlink r:id="rId88">
              <w:r>
                <w:rPr>
                  <w:color w:val="1D5FD1"/>
                  <w:u w:val="single"/>
                  <w:b/>
                  <w:sz w:val="16"/>
                  <w:szCs w:val="16"/>
                  <w:rFonts w:ascii="Calibri" w:hAnsi="Calibri" w:eastAsia="Hiragino Sans GB"/>
                </w:rPr>
                <w:t>消费行业午间同步简报（2026-07-14）</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32</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2026-07-14</w:t>
            </w:r>
          </w:p>
        </w:tc>
        <w:tc>
          <w:tcPr>
            <w:tcW w:type="dxa" w:w="5940"/>
            <w:tcMar>
              <w:top w:w="80" w:type="dxa"/>
              <w:bottom w:w="80" w:type="dxa"/>
              <w:start w:w="120" w:type="dxa"/>
              <w:end w:w="120" w:type="dxa"/>
            </w:tcMar>
          </w:tcPr>
          <w:p>
            <w:pPr>
              <w:spacing w:after="20"/>
            </w:pPr>
            <w:hyperlink r:id="rId22">
              <w:r>
                <w:rPr>
                  <w:color w:val="1D5FD1"/>
                  <w:u w:val="single"/>
                  <w:b/>
                  <w:sz w:val="16"/>
                  <w:szCs w:val="16"/>
                  <w:rFonts w:ascii="Calibri" w:hAnsi="Calibri" w:eastAsia="Hiragino Sans GB"/>
                </w:rPr>
                <w:t>AI 研究院每日日报 (2026-07-14)</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stock_evidence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33</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2026-07-14</w:t>
            </w:r>
          </w:p>
        </w:tc>
        <w:tc>
          <w:tcPr>
            <w:tcW w:type="dxa" w:w="5940"/>
            <w:tcMar>
              <w:top w:w="80" w:type="dxa"/>
              <w:bottom w:w="80" w:type="dxa"/>
              <w:start w:w="120" w:type="dxa"/>
              <w:end w:w="120" w:type="dxa"/>
            </w:tcMar>
          </w:tcPr>
          <w:p>
            <w:pPr>
              <w:spacing w:after="20"/>
            </w:pPr>
            <w:hyperlink r:id="rId89">
              <w:r>
                <w:rPr>
                  <w:color w:val="1D5FD1"/>
                  <w:u w:val="single"/>
                  <w:b/>
                  <w:sz w:val="16"/>
                  <w:szCs w:val="16"/>
                  <w:rFonts w:ascii="Calibri" w:hAnsi="Calibri" w:eastAsia="Hiragino Sans GB"/>
                </w:rPr>
                <w:t>专题轮动扫描：AI 算力与电网基建的“大物理转移” (2026-07-14)</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34</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2026-07-14</w:t>
            </w:r>
          </w:p>
        </w:tc>
        <w:tc>
          <w:tcPr>
            <w:tcW w:type="dxa" w:w="5940"/>
            <w:tcMar>
              <w:top w:w="80" w:type="dxa"/>
              <w:bottom w:w="80" w:type="dxa"/>
              <w:start w:w="120" w:type="dxa"/>
              <w:end w:w="120" w:type="dxa"/>
            </w:tcMar>
          </w:tcPr>
          <w:p>
            <w:pPr>
              <w:spacing w:after="20"/>
            </w:pPr>
            <w:hyperlink r:id="rId90">
              <w:r>
                <w:rPr>
                  <w:color w:val="1D5FD1"/>
                  <w:u w:val="single"/>
                  <w:b/>
                  <w:sz w:val="16"/>
                  <w:szCs w:val="16"/>
                  <w:rFonts w:ascii="Calibri" w:hAnsi="Calibri" w:eastAsia="Hiragino Sans GB"/>
                </w:rPr>
                <w:t>中美国债收益率曲线日报（2026-07-14）</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35</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2026-07-14</w:t>
            </w:r>
          </w:p>
        </w:tc>
        <w:tc>
          <w:tcPr>
            <w:tcW w:type="dxa" w:w="5940"/>
            <w:tcMar>
              <w:top w:w="80" w:type="dxa"/>
              <w:bottom w:w="80" w:type="dxa"/>
              <w:start w:w="120" w:type="dxa"/>
              <w:end w:w="120" w:type="dxa"/>
            </w:tcMar>
          </w:tcPr>
          <w:p>
            <w:pPr>
              <w:spacing w:after="20"/>
            </w:pPr>
            <w:hyperlink r:id="rId91">
              <w:r>
                <w:rPr>
                  <w:color w:val="1D5FD1"/>
                  <w:u w:val="single"/>
                  <w:b/>
                  <w:sz w:val="16"/>
                  <w:szCs w:val="16"/>
                  <w:rFonts w:ascii="Calibri" w:hAnsi="Calibri" w:eastAsia="Hiragino Sans GB"/>
                </w:rPr>
                <w:t>内部运营官午间同步简报（2026-07-14）</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36</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2026-07-14</w:t>
            </w:r>
          </w:p>
        </w:tc>
        <w:tc>
          <w:tcPr>
            <w:tcW w:type="dxa" w:w="5940"/>
            <w:tcMar>
              <w:top w:w="80" w:type="dxa"/>
              <w:bottom w:w="80" w:type="dxa"/>
              <w:start w:w="120" w:type="dxa"/>
              <w:end w:w="120" w:type="dxa"/>
            </w:tcMar>
          </w:tcPr>
          <w:p>
            <w:pPr>
              <w:spacing w:after="20"/>
            </w:pPr>
            <w:hyperlink r:id="rId92">
              <w:r>
                <w:rPr>
                  <w:color w:val="1D5FD1"/>
                  <w:u w:val="single"/>
                  <w:b/>
                  <w:sz w:val="16"/>
                  <w:szCs w:val="16"/>
                  <w:rFonts w:ascii="Calibri" w:hAnsi="Calibri" w:eastAsia="Hiragino Sans GB"/>
                </w:rPr>
                <w:t>前序研究（收束综合）——食品加工质量底仓的最终宏观配置规则</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37</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2026-07-14</w:t>
            </w:r>
          </w:p>
        </w:tc>
        <w:tc>
          <w:tcPr>
            <w:tcW w:type="dxa" w:w="5940"/>
            <w:tcMar>
              <w:top w:w="80" w:type="dxa"/>
              <w:bottom w:w="80" w:type="dxa"/>
              <w:start w:w="120" w:type="dxa"/>
              <w:end w:w="120" w:type="dxa"/>
            </w:tcMar>
          </w:tcPr>
          <w:p>
            <w:pPr>
              <w:spacing w:after="20"/>
            </w:pPr>
            <w:hyperlink r:id="rId93">
              <w:r>
                <w:rPr>
                  <w:color w:val="1D5FD1"/>
                  <w:u w:val="single"/>
                  <w:b/>
                  <w:sz w:val="16"/>
                  <w:szCs w:val="16"/>
                  <w:rFonts w:ascii="Calibri" w:hAnsi="Calibri" w:eastAsia="Hiragino Sans GB"/>
                </w:rPr>
                <w:t>午间情绪断裂扫描</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stock_evidence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38</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2026-07-13</w:t>
            </w:r>
          </w:p>
        </w:tc>
        <w:tc>
          <w:tcPr>
            <w:tcW w:type="dxa" w:w="5940"/>
            <w:tcMar>
              <w:top w:w="80" w:type="dxa"/>
              <w:bottom w:w="80" w:type="dxa"/>
              <w:start w:w="120" w:type="dxa"/>
              <w:end w:w="120" w:type="dxa"/>
            </w:tcMar>
          </w:tcPr>
          <w:p>
            <w:pPr>
              <w:spacing w:after="20"/>
            </w:pPr>
            <w:hyperlink r:id="rId94">
              <w:r>
                <w:rPr>
                  <w:color w:val="1D5FD1"/>
                  <w:u w:val="single"/>
                  <w:b/>
                  <w:sz w:val="16"/>
                  <w:szCs w:val="16"/>
                  <w:rFonts w:ascii="Calibri" w:hAnsi="Calibri" w:eastAsia="Hiragino Sans GB"/>
                </w:rPr>
                <w:t>§1 THESIS</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stock_evidence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39</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2026-07-13</w:t>
            </w:r>
          </w:p>
        </w:tc>
        <w:tc>
          <w:tcPr>
            <w:tcW w:type="dxa" w:w="5940"/>
            <w:tcMar>
              <w:top w:w="80" w:type="dxa"/>
              <w:bottom w:w="80" w:type="dxa"/>
              <w:start w:w="120" w:type="dxa"/>
              <w:end w:w="120" w:type="dxa"/>
            </w:tcMar>
          </w:tcPr>
          <w:p>
            <w:pPr>
              <w:spacing w:after="20"/>
            </w:pPr>
            <w:hyperlink r:id="rId95">
              <w:r>
                <w:rPr>
                  <w:color w:val="1D5FD1"/>
                  <w:u w:val="single"/>
                  <w:b/>
                  <w:sz w:val="16"/>
                  <w:szCs w:val="16"/>
                  <w:rFonts w:ascii="Calibri" w:hAnsi="Calibri" w:eastAsia="Hiragino Sans GB"/>
                </w:rPr>
                <w:t>A股技术形态与量能地图 (2026-07-14)</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stock_evidence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40</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2026-07-13</w:t>
            </w:r>
          </w:p>
        </w:tc>
        <w:tc>
          <w:tcPr>
            <w:tcW w:type="dxa" w:w="5940"/>
            <w:tcMar>
              <w:top w:w="80" w:type="dxa"/>
              <w:bottom w:w="80" w:type="dxa"/>
              <w:start w:w="120" w:type="dxa"/>
              <w:end w:w="120" w:type="dxa"/>
            </w:tcMar>
          </w:tcPr>
          <w:p>
            <w:pPr>
              <w:spacing w:after="20"/>
            </w:pPr>
            <w:hyperlink r:id="rId96">
              <w:r>
                <w:rPr>
                  <w:color w:val="1D5FD1"/>
                  <w:u w:val="single"/>
                  <w:b/>
                  <w:sz w:val="16"/>
                  <w:szCs w:val="16"/>
                  <w:rFonts w:ascii="Calibri" w:hAnsi="Calibri" w:eastAsia="Hiragino Sans GB"/>
                </w:rPr>
                <w:t>市场情绪午间社交话题扫描</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workspace_focus</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41</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2026-07-13</w:t>
            </w:r>
          </w:p>
        </w:tc>
        <w:tc>
          <w:tcPr>
            <w:tcW w:type="dxa" w:w="5940"/>
            <w:tcMar>
              <w:top w:w="80" w:type="dxa"/>
              <w:bottom w:w="80" w:type="dxa"/>
              <w:start w:w="120" w:type="dxa"/>
              <w:end w:w="120" w:type="dxa"/>
            </w:tcMar>
          </w:tcPr>
          <w:p>
            <w:pPr>
              <w:spacing w:after="20"/>
            </w:pPr>
            <w:hyperlink r:id="rId97">
              <w:r>
                <w:rPr>
                  <w:color w:val="1D5FD1"/>
                  <w:u w:val="single"/>
                  <w:b/>
                  <w:sz w:val="16"/>
                  <w:szCs w:val="16"/>
                  <w:rFonts w:ascii="Calibri" w:hAnsi="Calibri" w:eastAsia="Hiragino Sans GB"/>
                </w:rPr>
                <w:t>化肥防火墙与MSP地板对中国食品CPI、农村居民收入与农业财政成本的宏观传导深度分析</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42</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2026-07-13</w:t>
            </w:r>
          </w:p>
        </w:tc>
        <w:tc>
          <w:tcPr>
            <w:tcW w:type="dxa" w:w="5940"/>
            <w:tcMar>
              <w:top w:w="80" w:type="dxa"/>
              <w:bottom w:w="80" w:type="dxa"/>
              <w:start w:w="120" w:type="dxa"/>
              <w:end w:w="120" w:type="dxa"/>
            </w:tcMar>
          </w:tcPr>
          <w:p>
            <w:pPr>
              <w:spacing w:after="20"/>
            </w:pPr>
            <w:hyperlink r:id="rId98">
              <w:r>
                <w:rPr>
                  <w:color w:val="1D5FD1"/>
                  <w:u w:val="single"/>
                  <w:b/>
                  <w:sz w:val="16"/>
                  <w:szCs w:val="16"/>
                  <w:rFonts w:ascii="Calibri" w:hAnsi="Calibri" w:eastAsia="Hiragino Sans GB"/>
                </w:rPr>
                <w:t>中国设备更新补贴、叉车订单与利润对冲评估 — 2026-07-13</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43</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2026-07-13</w:t>
            </w:r>
          </w:p>
        </w:tc>
        <w:tc>
          <w:tcPr>
            <w:tcW w:type="dxa" w:w="5940"/>
            <w:tcMar>
              <w:top w:w="80" w:type="dxa"/>
              <w:bottom w:w="80" w:type="dxa"/>
              <w:start w:w="120" w:type="dxa"/>
              <w:end w:w="120" w:type="dxa"/>
            </w:tcMar>
          </w:tcPr>
          <w:p>
            <w:pPr>
              <w:spacing w:after="20"/>
            </w:pPr>
            <w:hyperlink r:id="rId99">
              <w:r>
                <w:rPr>
                  <w:color w:val="1D5FD1"/>
                  <w:u w:val="single"/>
                  <w:b/>
                  <w:sz w:val="16"/>
                  <w:szCs w:val="16"/>
                  <w:rFonts w:ascii="Calibri" w:hAnsi="Calibri" w:eastAsia="Hiragino Sans GB"/>
                </w:rPr>
                <w:t>东盟本地化产能的关税规避有效性与绕道出口“反规避”监管风险评估</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44</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2026-07-13</w:t>
            </w:r>
          </w:p>
        </w:tc>
        <w:tc>
          <w:tcPr>
            <w:tcW w:type="dxa" w:w="5940"/>
            <w:tcMar>
              <w:top w:w="80" w:type="dxa"/>
              <w:bottom w:w="80" w:type="dxa"/>
              <w:start w:w="120" w:type="dxa"/>
              <w:end w:w="120" w:type="dxa"/>
            </w:tcMar>
          </w:tcPr>
          <w:p>
            <w:pPr>
              <w:spacing w:after="20"/>
            </w:pPr>
            <w:hyperlink r:id="rId100">
              <w:r>
                <w:rPr>
                  <w:color w:val="1D5FD1"/>
                  <w:u w:val="single"/>
                  <w:b/>
                  <w:sz w:val="16"/>
                  <w:szCs w:val="16"/>
                  <w:rFonts w:ascii="Calibri" w:hAnsi="Calibri" w:eastAsia="Hiragino Sans GB"/>
                </w:rPr>
                <w:t>行业与主题轮动日报：超级 IPO 虹吸下的硬科技退潮与红利医药防御</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45</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2026-07-13</w:t>
            </w:r>
          </w:p>
        </w:tc>
        <w:tc>
          <w:tcPr>
            <w:tcW w:type="dxa" w:w="5940"/>
            <w:tcMar>
              <w:top w:w="80" w:type="dxa"/>
              <w:bottom w:w="80" w:type="dxa"/>
              <w:start w:w="120" w:type="dxa"/>
              <w:end w:w="120" w:type="dxa"/>
            </w:tcMar>
          </w:tcPr>
          <w:p>
            <w:pPr>
              <w:spacing w:after="20"/>
            </w:pPr>
            <w:hyperlink r:id="rId101">
              <w:r>
                <w:rPr>
                  <w:color w:val="1D5FD1"/>
                  <w:u w:val="single"/>
                  <w:b/>
                  <w:sz w:val="16"/>
                  <w:szCs w:val="16"/>
                  <w:rFonts w:ascii="Calibri" w:hAnsi="Calibri" w:eastAsia="Hiragino Sans GB"/>
                </w:rPr>
                <w:t>食品加工产业链的全球宏观挑战意见 — 2026-07-13</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46</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2026-07-13</w:t>
            </w:r>
          </w:p>
        </w:tc>
        <w:tc>
          <w:tcPr>
            <w:tcW w:type="dxa" w:w="5940"/>
            <w:tcMar>
              <w:top w:w="80" w:type="dxa"/>
              <w:bottom w:w="80" w:type="dxa"/>
              <w:start w:w="120" w:type="dxa"/>
              <w:end w:w="120" w:type="dxa"/>
            </w:tcMar>
          </w:tcPr>
          <w:p>
            <w:pPr>
              <w:spacing w:after="20"/>
            </w:pPr>
            <w:hyperlink r:id="rId102">
              <w:r>
                <w:rPr>
                  <w:color w:val="1D5FD1"/>
                  <w:u w:val="single"/>
                  <w:b/>
                  <w:sz w:val="16"/>
                  <w:szCs w:val="16"/>
                  <w:rFonts w:ascii="Calibri" w:hAnsi="Calibri" w:eastAsia="Hiragino Sans GB"/>
                </w:rPr>
                <w:t>2026-07-13 纯A股消费服务转型代理篮子</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47</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2026-07-13</w:t>
            </w:r>
          </w:p>
        </w:tc>
        <w:tc>
          <w:tcPr>
            <w:tcW w:type="dxa" w:w="5940"/>
            <w:tcMar>
              <w:top w:w="80" w:type="dxa"/>
              <w:bottom w:w="80" w:type="dxa"/>
              <w:start w:w="120" w:type="dxa"/>
              <w:end w:w="120" w:type="dxa"/>
            </w:tcMar>
          </w:tcPr>
          <w:p>
            <w:pPr>
              <w:spacing w:after="20"/>
            </w:pPr>
            <w:hyperlink r:id="rId103">
              <w:r>
                <w:rPr>
                  <w:color w:val="1D5FD1"/>
                  <w:u w:val="single"/>
                  <w:b/>
                  <w:sz w:val="16"/>
                  <w:szCs w:val="16"/>
                  <w:rFonts w:ascii="Calibri" w:hAnsi="Calibri" w:eastAsia="Hiragino Sans GB"/>
                </w:rPr>
                <w:t>产业链调研报告：食品加工产业链深度扫描与标的筛选</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48</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2026-07-13</w:t>
            </w:r>
          </w:p>
        </w:tc>
        <w:tc>
          <w:tcPr>
            <w:tcW w:type="dxa" w:w="5940"/>
            <w:tcMar>
              <w:top w:w="80" w:type="dxa"/>
              <w:bottom w:w="80" w:type="dxa"/>
              <w:start w:w="120" w:type="dxa"/>
              <w:end w:w="120" w:type="dxa"/>
            </w:tcMar>
          </w:tcPr>
          <w:p>
            <w:pPr>
              <w:spacing w:after="20"/>
            </w:pPr>
            <w:hyperlink r:id="rId104">
              <w:r>
                <w:rPr>
                  <w:color w:val="1D5FD1"/>
                  <w:u w:val="single"/>
                  <w:b/>
                  <w:sz w:val="16"/>
                  <w:szCs w:val="16"/>
                  <w:rFonts w:ascii="Calibri" w:hAnsi="Calibri" w:eastAsia="Hiragino Sans GB"/>
                </w:rPr>
                <w:t>2026-07-13 A股“电网优先”组合：换手率、融资占比与主力资金流降风险阈值</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49</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2026-07-13</w:t>
            </w:r>
          </w:p>
        </w:tc>
        <w:tc>
          <w:tcPr>
            <w:tcW w:type="dxa" w:w="5940"/>
            <w:tcMar>
              <w:top w:w="80" w:type="dxa"/>
              <w:bottom w:w="80" w:type="dxa"/>
              <w:start w:w="120" w:type="dxa"/>
              <w:end w:w="120" w:type="dxa"/>
            </w:tcMar>
          </w:tcPr>
          <w:p>
            <w:pPr>
              <w:spacing w:after="20"/>
            </w:pPr>
            <w:hyperlink r:id="rId31">
              <w:r>
                <w:rPr>
                  <w:color w:val="1D5FD1"/>
                  <w:u w:val="single"/>
                  <w:b/>
                  <w:sz w:val="16"/>
                  <w:szCs w:val="16"/>
                  <w:rFonts w:ascii="Calibri" w:hAnsi="Calibri" w:eastAsia="Hiragino Sans GB"/>
                </w:rPr>
                <w:t>每日午间碰头会简报 (2026-07-13)</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50</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2026-07-13</w:t>
            </w:r>
          </w:p>
        </w:tc>
        <w:tc>
          <w:tcPr>
            <w:tcW w:type="dxa" w:w="5940"/>
            <w:tcMar>
              <w:top w:w="80" w:type="dxa"/>
              <w:bottom w:w="80" w:type="dxa"/>
              <w:start w:w="120" w:type="dxa"/>
              <w:end w:w="120" w:type="dxa"/>
            </w:tcMar>
          </w:tcPr>
          <w:p>
            <w:pPr>
              <w:spacing w:after="20"/>
            </w:pPr>
            <w:hyperlink r:id="rId105">
              <w:r>
                <w:rPr>
                  <w:color w:val="1D5FD1"/>
                  <w:u w:val="single"/>
                  <w:b/>
                  <w:sz w:val="16"/>
                  <w:szCs w:val="16"/>
                  <w:rFonts w:ascii="Calibri" w:hAnsi="Calibri" w:eastAsia="Hiragino Sans GB"/>
                </w:rPr>
                <w:t>2026-07-13 A股消费服务代理篮子：精确成分、重合度与再平衡规则</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51</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2026-07-13</w:t>
            </w:r>
          </w:p>
        </w:tc>
        <w:tc>
          <w:tcPr>
            <w:tcW w:type="dxa" w:w="5940"/>
            <w:tcMar>
              <w:top w:w="80" w:type="dxa"/>
              <w:bottom w:w="80" w:type="dxa"/>
              <w:start w:w="120" w:type="dxa"/>
              <w:end w:w="120" w:type="dxa"/>
            </w:tcMar>
          </w:tcPr>
          <w:p>
            <w:pPr>
              <w:spacing w:after="20"/>
            </w:pPr>
            <w:hyperlink r:id="rId106">
              <w:r>
                <w:rPr>
                  <w:color w:val="1D5FD1"/>
                  <w:u w:val="single"/>
                  <w:b/>
                  <w:sz w:val="16"/>
                  <w:szCs w:val="16"/>
                  <w:rFonts w:ascii="Calibri" w:hAnsi="Calibri" w:eastAsia="Hiragino Sans GB"/>
                </w:rPr>
                <w:t>拥挤交易预警：一致性持仓与回撤风险</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52</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2026-07-13</w:t>
            </w:r>
          </w:p>
        </w:tc>
        <w:tc>
          <w:tcPr>
            <w:tcW w:type="dxa" w:w="5940"/>
            <w:tcMar>
              <w:top w:w="80" w:type="dxa"/>
              <w:bottom w:w="80" w:type="dxa"/>
              <w:start w:w="120" w:type="dxa"/>
              <w:end w:w="120" w:type="dxa"/>
            </w:tcMar>
          </w:tcPr>
          <w:p>
            <w:pPr>
              <w:spacing w:after="20"/>
            </w:pPr>
            <w:hyperlink r:id="rId107">
              <w:r>
                <w:rPr>
                  <w:color w:val="1D5FD1"/>
                  <w:u w:val="single"/>
                  <w:b/>
                  <w:sz w:val="16"/>
                  <w:szCs w:val="16"/>
                  <w:rFonts w:ascii="Calibri" w:hAnsi="Calibri" w:eastAsia="Hiragino Sans GB"/>
                </w:rPr>
                <w:t>险资友好型 A/H 创新药商业化龙头筛选</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53</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2026-07-13</w:t>
            </w:r>
          </w:p>
        </w:tc>
        <w:tc>
          <w:tcPr>
            <w:tcW w:type="dxa" w:w="5940"/>
            <w:tcMar>
              <w:top w:w="80" w:type="dxa"/>
              <w:bottom w:w="80" w:type="dxa"/>
              <w:start w:w="120" w:type="dxa"/>
              <w:end w:w="120" w:type="dxa"/>
            </w:tcMar>
          </w:tcPr>
          <w:p>
            <w:pPr>
              <w:spacing w:after="20"/>
            </w:pPr>
            <w:hyperlink r:id="rId108">
              <w:r>
                <w:rPr>
                  <w:color w:val="1D5FD1"/>
                  <w:u w:val="single"/>
                  <w:b/>
                  <w:sz w:val="16"/>
                  <w:szCs w:val="16"/>
                  <w:rFonts w:ascii="Calibri" w:hAnsi="Calibri" w:eastAsia="Hiragino Sans GB"/>
                </w:rPr>
                <w:t>消费板块估值修复与风格轮动 - 首席策略师报告</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54</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2026-07-13</w:t>
            </w:r>
          </w:p>
        </w:tc>
        <w:tc>
          <w:tcPr>
            <w:tcW w:type="dxa" w:w="5940"/>
            <w:tcMar>
              <w:top w:w="80" w:type="dxa"/>
              <w:bottom w:w="80" w:type="dxa"/>
              <w:start w:w="120" w:type="dxa"/>
              <w:end w:w="120" w:type="dxa"/>
            </w:tcMar>
          </w:tcPr>
          <w:p>
            <w:pPr>
              <w:spacing w:after="20"/>
            </w:pPr>
            <w:hyperlink r:id="rId109">
              <w:r>
                <w:rPr>
                  <w:color w:val="1D5FD1"/>
                  <w:u w:val="single"/>
                  <w:b/>
                  <w:sz w:val="16"/>
                  <w:szCs w:val="16"/>
                  <w:rFonts w:ascii="Calibri" w:hAnsi="Calibri" w:eastAsia="Hiragino Sans GB"/>
                </w:rPr>
                <w:t>资金流向与市场情绪日报 (2026-07-14)</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55</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2026-07-13</w:t>
            </w:r>
          </w:p>
        </w:tc>
        <w:tc>
          <w:tcPr>
            <w:tcW w:type="dxa" w:w="5940"/>
            <w:tcMar>
              <w:top w:w="80" w:type="dxa"/>
              <w:bottom w:w="80" w:type="dxa"/>
              <w:start w:w="120" w:type="dxa"/>
              <w:end w:w="120" w:type="dxa"/>
            </w:tcMar>
          </w:tcPr>
          <w:p>
            <w:pPr>
              <w:spacing w:after="20"/>
            </w:pPr>
            <w:hyperlink r:id="rId110">
              <w:r>
                <w:rPr>
                  <w:color w:val="1D5FD1"/>
                  <w:u w:val="single"/>
                  <w:b/>
                  <w:sz w:val="16"/>
                  <w:szCs w:val="16"/>
                  <w:rFonts w:ascii="Calibri" w:hAnsi="Calibri" w:eastAsia="Hiragino Sans GB"/>
                </w:rPr>
                <w:t>国内设备更新政策下数控机床与机器人核心零部件的订单与毛利验证 — 2026-07-13</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stock_evidence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56</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2026-07-13</w:t>
            </w:r>
          </w:p>
        </w:tc>
        <w:tc>
          <w:tcPr>
            <w:tcW w:type="dxa" w:w="5940"/>
            <w:tcMar>
              <w:top w:w="80" w:type="dxa"/>
              <w:bottom w:w="80" w:type="dxa"/>
              <w:start w:w="120" w:type="dxa"/>
              <w:end w:w="120" w:type="dxa"/>
            </w:tcMar>
          </w:tcPr>
          <w:p>
            <w:pPr>
              <w:spacing w:after="20"/>
            </w:pPr>
            <w:hyperlink r:id="rId111">
              <w:r>
                <w:rPr>
                  <w:color w:val="1D5FD1"/>
                  <w:u w:val="single"/>
                  <w:b/>
                  <w:sz w:val="16"/>
                  <w:szCs w:val="16"/>
                  <w:rFonts w:ascii="Calibri" w:hAnsi="Calibri" w:eastAsia="Hiragino Sans GB"/>
                </w:rPr>
                <w:t>极值风险压力测试：科创板／智能制造去杠杆踩踏 对 期权对冲防线</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57</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2026-07-13</w:t>
            </w:r>
          </w:p>
        </w:tc>
        <w:tc>
          <w:tcPr>
            <w:tcW w:type="dxa" w:w="5940"/>
            <w:tcMar>
              <w:top w:w="80" w:type="dxa"/>
              <w:bottom w:w="80" w:type="dxa"/>
              <w:start w:w="120" w:type="dxa"/>
              <w:end w:w="120" w:type="dxa"/>
            </w:tcMar>
          </w:tcPr>
          <w:p>
            <w:pPr>
              <w:spacing w:after="20"/>
            </w:pPr>
            <w:hyperlink r:id="rId112">
              <w:r>
                <w:rPr>
                  <w:color w:val="1D5FD1"/>
                  <w:u w:val="single"/>
                  <w:b/>
                  <w:sz w:val="16"/>
                  <w:szCs w:val="16"/>
                  <w:rFonts w:ascii="Calibri" w:hAnsi="Calibri" w:eastAsia="Hiragino Sans GB"/>
                </w:rPr>
                <w:t>霍尔木兹地缘危机与美股资产韧性的脱钩辩论</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58</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2026-07-13</w:t>
            </w:r>
          </w:p>
        </w:tc>
        <w:tc>
          <w:tcPr>
            <w:tcW w:type="dxa" w:w="5940"/>
            <w:tcMar>
              <w:top w:w="80" w:type="dxa"/>
              <w:bottom w:w="80" w:type="dxa"/>
              <w:start w:w="120" w:type="dxa"/>
              <w:end w:w="120" w:type="dxa"/>
            </w:tcMar>
          </w:tcPr>
          <w:p>
            <w:pPr>
              <w:spacing w:after="20"/>
            </w:pPr>
            <w:hyperlink r:id="rId113">
              <w:r>
                <w:rPr>
                  <w:color w:val="1D5FD1"/>
                  <w:u w:val="single"/>
                  <w:b/>
                  <w:sz w:val="16"/>
                  <w:szCs w:val="16"/>
                  <w:rFonts w:ascii="Calibri" w:hAnsi="Calibri" w:eastAsia="Hiragino Sans GB"/>
                </w:rPr>
                <w:t>工业机械产业链调研队列 — 2026-07-13</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59</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2026-07-13</w:t>
            </w:r>
          </w:p>
        </w:tc>
        <w:tc>
          <w:tcPr>
            <w:tcW w:type="dxa" w:w="5940"/>
            <w:tcMar>
              <w:top w:w="80" w:type="dxa"/>
              <w:bottom w:w="80" w:type="dxa"/>
              <w:start w:w="120" w:type="dxa"/>
              <w:end w:w="120" w:type="dxa"/>
            </w:tcMar>
          </w:tcPr>
          <w:p>
            <w:pPr>
              <w:spacing w:after="20"/>
            </w:pPr>
            <w:hyperlink r:id="rId114">
              <w:r>
                <w:rPr>
                  <w:color w:val="1D5FD1"/>
                  <w:u w:val="single"/>
                  <w:b/>
                  <w:sz w:val="16"/>
                  <w:szCs w:val="16"/>
                  <w:rFonts w:ascii="Calibri" w:hAnsi="Calibri" w:eastAsia="Hiragino Sans GB"/>
                </w:rPr>
                <w:t>产业链调研：酒店、餐馆与休闲产业链深度剖析</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60</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2026-07-13</w:t>
            </w:r>
          </w:p>
        </w:tc>
        <w:tc>
          <w:tcPr>
            <w:tcW w:type="dxa" w:w="5940"/>
            <w:tcMar>
              <w:top w:w="80" w:type="dxa"/>
              <w:bottom w:w="80" w:type="dxa"/>
              <w:start w:w="120" w:type="dxa"/>
              <w:end w:w="120" w:type="dxa"/>
            </w:tcMar>
          </w:tcPr>
          <w:p>
            <w:pPr>
              <w:spacing w:after="20"/>
            </w:pPr>
            <w:hyperlink r:id="rId115">
              <w:r>
                <w:rPr>
                  <w:color w:val="1D5FD1"/>
                  <w:u w:val="single"/>
                  <w:b/>
                  <w:sz w:val="16"/>
                  <w:szCs w:val="16"/>
                  <w:rFonts w:ascii="Calibri" w:hAnsi="Calibri" w:eastAsia="Hiragino Sans GB"/>
                </w:rPr>
                <w:t>关税反规避失效与海外利润率压缩对A股机械板块出海估值逻辑的重构</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stock_evidence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61</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2026-07-13</w:t>
            </w:r>
          </w:p>
        </w:tc>
        <w:tc>
          <w:tcPr>
            <w:tcW w:type="dxa" w:w="5940"/>
            <w:tcMar>
              <w:top w:w="80" w:type="dxa"/>
              <w:bottom w:w="80" w:type="dxa"/>
              <w:start w:w="120" w:type="dxa"/>
              <w:end w:w="120" w:type="dxa"/>
            </w:tcMar>
          </w:tcPr>
          <w:p>
            <w:pPr>
              <w:spacing w:after="20"/>
            </w:pPr>
            <w:hyperlink r:id="rId116">
              <w:r>
                <w:rPr>
                  <w:color w:val="1D5FD1"/>
                  <w:u w:val="single"/>
                  <w:b/>
                  <w:sz w:val="16"/>
                  <w:szCs w:val="16"/>
                  <w:rFonts w:ascii="Calibri" w:hAnsi="Calibri" w:eastAsia="Hiragino Sans GB"/>
                </w:rPr>
                <w:t>每日市场情绪综合指数</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62</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2026-07-13</w:t>
            </w:r>
          </w:p>
        </w:tc>
        <w:tc>
          <w:tcPr>
            <w:tcW w:type="dxa" w:w="5940"/>
            <w:tcMar>
              <w:top w:w="80" w:type="dxa"/>
              <w:bottom w:w="80" w:type="dxa"/>
              <w:start w:w="120" w:type="dxa"/>
              <w:end w:w="120" w:type="dxa"/>
            </w:tcMar>
          </w:tcPr>
          <w:p>
            <w:pPr>
              <w:spacing w:after="20"/>
            </w:pPr>
            <w:hyperlink r:id="rId117">
              <w:r>
                <w:rPr>
                  <w:color w:val="1D5FD1"/>
                  <w:u w:val="single"/>
                  <w:b/>
                  <w:sz w:val="16"/>
                  <w:szCs w:val="16"/>
                  <w:rFonts w:ascii="Calibri" w:hAnsi="Calibri" w:eastAsia="Hiragino Sans GB"/>
                </w:rPr>
                <w:t>美国机械资本开支与关税体制可持续性：KAI 与杭叉集团的宏观分化评估</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63</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2026-07-13</w:t>
            </w:r>
          </w:p>
        </w:tc>
        <w:tc>
          <w:tcPr>
            <w:tcW w:type="dxa" w:w="5940"/>
            <w:tcMar>
              <w:top w:w="80" w:type="dxa"/>
              <w:bottom w:w="80" w:type="dxa"/>
              <w:start w:w="120" w:type="dxa"/>
              <w:end w:w="120" w:type="dxa"/>
            </w:tcMar>
          </w:tcPr>
          <w:p>
            <w:pPr>
              <w:spacing w:after="20"/>
            </w:pPr>
            <w:hyperlink r:id="rId118">
              <w:r>
                <w:rPr>
                  <w:color w:val="1D5FD1"/>
                  <w:u w:val="single"/>
                  <w:b/>
                  <w:sz w:val="16"/>
                  <w:szCs w:val="16"/>
                  <w:rFonts w:ascii="Calibri" w:hAnsi="Calibri" w:eastAsia="Hiragino Sans GB"/>
                </w:rPr>
                <w:t>2026-07-13 A 股哑铃：以 600276 为核的创新药 ERP 压缩腿应如何定权重</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64</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2026-07-13</w:t>
            </w:r>
          </w:p>
        </w:tc>
        <w:tc>
          <w:tcPr>
            <w:tcW w:type="dxa" w:w="5940"/>
            <w:tcMar>
              <w:top w:w="80" w:type="dxa"/>
              <w:bottom w:w="80" w:type="dxa"/>
              <w:start w:w="120" w:type="dxa"/>
              <w:end w:w="120" w:type="dxa"/>
            </w:tcMar>
          </w:tcPr>
          <w:p>
            <w:pPr>
              <w:spacing w:after="20"/>
            </w:pPr>
            <w:hyperlink r:id="rId119">
              <w:r>
                <w:rPr>
                  <w:color w:val="1D5FD1"/>
                  <w:u w:val="single"/>
                  <w:b/>
                  <w:sz w:val="16"/>
                  <w:szCs w:val="16"/>
                  <w:rFonts w:ascii="Calibri" w:hAnsi="Calibri" w:eastAsia="Hiragino Sans GB"/>
                </w:rPr>
                <w:t>K 型财政落地下医疗设备企业的产品组合重构与盈利预测重估</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65</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2026-07-13</w:t>
            </w:r>
          </w:p>
        </w:tc>
        <w:tc>
          <w:tcPr>
            <w:tcW w:type="dxa" w:w="5940"/>
            <w:tcMar>
              <w:top w:w="80" w:type="dxa"/>
              <w:bottom w:w="80" w:type="dxa"/>
              <w:start w:w="120" w:type="dxa"/>
              <w:end w:w="120" w:type="dxa"/>
            </w:tcMar>
          </w:tcPr>
          <w:p>
            <w:pPr>
              <w:spacing w:after="20"/>
            </w:pPr>
            <w:hyperlink r:id="rId120">
              <w:r>
                <w:rPr>
                  <w:color w:val="1D5FD1"/>
                  <w:u w:val="single"/>
                  <w:b/>
                  <w:sz w:val="16"/>
                  <w:szCs w:val="16"/>
                  <w:rFonts w:ascii="Calibri" w:hAnsi="Calibri" w:eastAsia="Hiragino Sans GB"/>
                </w:rPr>
                <w:t>医疗设备板块在 A 股医药配置中的相对定位与估值重估</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66</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2026-07-13</w:t>
            </w:r>
          </w:p>
        </w:tc>
        <w:tc>
          <w:tcPr>
            <w:tcW w:type="dxa" w:w="5940"/>
            <w:tcMar>
              <w:top w:w="80" w:type="dxa"/>
              <w:bottom w:w="80" w:type="dxa"/>
              <w:start w:w="120" w:type="dxa"/>
              <w:end w:w="120" w:type="dxa"/>
            </w:tcMar>
          </w:tcPr>
          <w:p>
            <w:pPr>
              <w:spacing w:after="20"/>
            </w:pPr>
            <w:hyperlink r:id="rId121">
              <w:r>
                <w:rPr>
                  <w:color w:val="1D5FD1"/>
                  <w:u w:val="single"/>
                  <w:b/>
                  <w:sz w:val="16"/>
                  <w:szCs w:val="16"/>
                  <w:rFonts w:ascii="Calibri" w:hAnsi="Calibri" w:eastAsia="Hiragino Sans GB"/>
                </w:rPr>
                <w:t>跨市场工业机械研究队列：深挖 vs. 观察名单的优先级排序</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67</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2026-07-13</w:t>
            </w:r>
          </w:p>
        </w:tc>
        <w:tc>
          <w:tcPr>
            <w:tcW w:type="dxa" w:w="5940"/>
            <w:tcMar>
              <w:top w:w="80" w:type="dxa"/>
              <w:bottom w:w="80" w:type="dxa"/>
              <w:start w:w="120" w:type="dxa"/>
              <w:end w:w="120" w:type="dxa"/>
            </w:tcMar>
          </w:tcPr>
          <w:p>
            <w:pPr>
              <w:spacing w:after="20"/>
            </w:pPr>
            <w:hyperlink r:id="rId122">
              <w:r>
                <w:rPr>
                  <w:color w:val="1D5FD1"/>
                  <w:u w:val="single"/>
                  <w:b/>
                  <w:sz w:val="16"/>
                  <w:szCs w:val="16"/>
                  <w:rFonts w:ascii="Calibri" w:hAnsi="Calibri" w:eastAsia="Hiragino Sans GB"/>
                </w:rPr>
                <w:t>2026-07-13 — 出口管控与国内价格防火墙：向中国种植成本与粮食安全边际的传导</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68</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2026-07-13</w:t>
            </w:r>
          </w:p>
        </w:tc>
        <w:tc>
          <w:tcPr>
            <w:tcW w:type="dxa" w:w="5940"/>
            <w:tcMar>
              <w:top w:w="80" w:type="dxa"/>
              <w:bottom w:w="80" w:type="dxa"/>
              <w:start w:w="120" w:type="dxa"/>
              <w:end w:w="120" w:type="dxa"/>
            </w:tcMar>
          </w:tcPr>
          <w:p>
            <w:pPr>
              <w:spacing w:after="20"/>
            </w:pPr>
            <w:hyperlink r:id="rId123">
              <w:r>
                <w:rPr>
                  <w:color w:val="1D5FD1"/>
                  <w:u w:val="single"/>
                  <w:b/>
                  <w:sz w:val="16"/>
                  <w:szCs w:val="16"/>
                  <w:rFonts w:ascii="Calibri" w:hAnsi="Calibri" w:eastAsia="Hiragino Sans GB"/>
                </w:rPr>
                <w:t>2026-07-13 消费服务龙头利润率转化验证</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69</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2026-07-13</w:t>
            </w:r>
          </w:p>
        </w:tc>
        <w:tc>
          <w:tcPr>
            <w:tcW w:type="dxa" w:w="5940"/>
            <w:tcMar>
              <w:top w:w="80" w:type="dxa"/>
              <w:bottom w:w="80" w:type="dxa"/>
              <w:start w:w="120" w:type="dxa"/>
              <w:end w:w="120" w:type="dxa"/>
            </w:tcMar>
          </w:tcPr>
          <w:p>
            <w:pPr>
              <w:spacing w:after="20"/>
            </w:pPr>
            <w:hyperlink r:id="rId124">
              <w:r>
                <w:rPr>
                  <w:color w:val="1D5FD1"/>
                  <w:u w:val="single"/>
                  <w:b/>
                  <w:sz w:val="16"/>
                  <w:szCs w:val="16"/>
                  <w:rFonts w:ascii="Calibri" w:hAnsi="Calibri" w:eastAsia="Hiragino Sans GB"/>
                </w:rPr>
                <w:t>Recent operator-action digest</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70</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2026-07-13</w:t>
            </w:r>
          </w:p>
        </w:tc>
        <w:tc>
          <w:tcPr>
            <w:tcW w:type="dxa" w:w="5940"/>
            <w:tcMar>
              <w:top w:w="80" w:type="dxa"/>
              <w:bottom w:w="80" w:type="dxa"/>
              <w:start w:w="120" w:type="dxa"/>
              <w:end w:w="120" w:type="dxa"/>
            </w:tcMar>
          </w:tcPr>
          <w:p>
            <w:pPr>
              <w:spacing w:after="20"/>
            </w:pPr>
            <w:hyperlink r:id="rId125">
              <w:r>
                <w:rPr>
                  <w:color w:val="1D5FD1"/>
                  <w:u w:val="single"/>
                  <w:b/>
                  <w:sz w:val="16"/>
                  <w:szCs w:val="16"/>
                  <w:rFonts w:ascii="Calibri" w:hAnsi="Calibri" w:eastAsia="Hiragino Sans GB"/>
                </w:rPr>
                <w:t>Recent operator-action digest</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71</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2026-07-13</w:t>
            </w:r>
          </w:p>
        </w:tc>
        <w:tc>
          <w:tcPr>
            <w:tcW w:type="dxa" w:w="5940"/>
            <w:tcMar>
              <w:top w:w="80" w:type="dxa"/>
              <w:bottom w:w="80" w:type="dxa"/>
              <w:start w:w="120" w:type="dxa"/>
              <w:end w:w="120" w:type="dxa"/>
            </w:tcMar>
          </w:tcPr>
          <w:p>
            <w:pPr>
              <w:spacing w:after="20"/>
            </w:pPr>
            <w:hyperlink r:id="rId126">
              <w:r>
                <w:rPr>
                  <w:color w:val="1D5FD1"/>
                  <w:u w:val="single"/>
                  <w:b/>
                  <w:sz w:val="16"/>
                  <w:szCs w:val="16"/>
                  <w:rFonts w:ascii="Calibri" w:hAnsi="Calibri" w:eastAsia="Hiragino Sans GB"/>
                </w:rPr>
                <w:t>Recent operator-action digest</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72</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2026-07-13</w:t>
            </w:r>
          </w:p>
        </w:tc>
        <w:tc>
          <w:tcPr>
            <w:tcW w:type="dxa" w:w="5940"/>
            <w:tcMar>
              <w:top w:w="80" w:type="dxa"/>
              <w:bottom w:w="80" w:type="dxa"/>
              <w:start w:w="120" w:type="dxa"/>
              <w:end w:w="120" w:type="dxa"/>
            </w:tcMar>
          </w:tcPr>
          <w:p>
            <w:pPr>
              <w:spacing w:after="20"/>
            </w:pPr>
            <w:hyperlink r:id="rId127">
              <w:r>
                <w:rPr>
                  <w:color w:val="1D5FD1"/>
                  <w:u w:val="single"/>
                  <w:b/>
                  <w:sz w:val="16"/>
                  <w:szCs w:val="16"/>
                  <w:rFonts w:ascii="Calibri" w:hAnsi="Calibri" w:eastAsia="Hiragino Sans GB"/>
                </w:rPr>
                <w:t>建筑材料上游大宗原材料价格及碳双控政策对中游毛利率的传导效应与供给侧约束评估</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73</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2026-07-13</w:t>
            </w:r>
          </w:p>
        </w:tc>
        <w:tc>
          <w:tcPr>
            <w:tcW w:type="dxa" w:w="5940"/>
            <w:tcMar>
              <w:top w:w="80" w:type="dxa"/>
              <w:bottom w:w="80" w:type="dxa"/>
              <w:start w:w="120" w:type="dxa"/>
              <w:end w:w="120" w:type="dxa"/>
            </w:tcMar>
          </w:tcPr>
          <w:p>
            <w:pPr>
              <w:spacing w:after="20"/>
            </w:pPr>
            <w:hyperlink r:id="rId128">
              <w:r>
                <w:rPr>
                  <w:color w:val="1D5FD1"/>
                  <w:u w:val="single"/>
                  <w:b/>
                  <w:sz w:val="16"/>
                  <w:szCs w:val="16"/>
                  <w:rFonts w:ascii="Calibri" w:hAnsi="Calibri" w:eastAsia="Hiragino Sans GB"/>
                </w:rPr>
                <w:t>量化美国政策折扣：BIOSECURE / 1260H 交易结构摩擦如何真实地重定价中国对外授权 NPV 与 BD 概率</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74</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2026-07-13</w:t>
            </w:r>
          </w:p>
        </w:tc>
        <w:tc>
          <w:tcPr>
            <w:tcW w:type="dxa" w:w="5940"/>
            <w:tcMar>
              <w:top w:w="80" w:type="dxa"/>
              <w:bottom w:w="80" w:type="dxa"/>
              <w:start w:w="120" w:type="dxa"/>
              <w:end w:w="120" w:type="dxa"/>
            </w:tcMar>
          </w:tcPr>
          <w:p>
            <w:pPr>
              <w:spacing w:after="20"/>
            </w:pPr>
            <w:hyperlink r:id="rId129">
              <w:r>
                <w:rPr>
                  <w:color w:val="1D5FD1"/>
                  <w:u w:val="single"/>
                  <w:b/>
                  <w:sz w:val="16"/>
                  <w:szCs w:val="16"/>
                  <w:rFonts w:ascii="Calibri" w:hAnsi="Calibri" w:eastAsia="Hiragino Sans GB"/>
                </w:rPr>
                <w:t>高端数控机床与机器人核心零部件板块的微观资金流动与两融杠杆脆弱性评估</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75</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2026-07-13</w:t>
            </w:r>
          </w:p>
        </w:tc>
        <w:tc>
          <w:tcPr>
            <w:tcW w:type="dxa" w:w="5940"/>
            <w:tcMar>
              <w:top w:w="80" w:type="dxa"/>
              <w:bottom w:w="80" w:type="dxa"/>
              <w:start w:w="120" w:type="dxa"/>
              <w:end w:w="120" w:type="dxa"/>
            </w:tcMar>
          </w:tcPr>
          <w:p>
            <w:pPr>
              <w:spacing w:after="20"/>
            </w:pPr>
            <w:hyperlink r:id="rId130">
              <w:r>
                <w:rPr>
                  <w:color w:val="1D5FD1"/>
                  <w:u w:val="single"/>
                  <w:b/>
                  <w:sz w:val="16"/>
                  <w:szCs w:val="16"/>
                  <w:rFonts w:ascii="Calibri" w:hAnsi="Calibri" w:eastAsia="Hiragino Sans GB"/>
                </w:rPr>
                <w:t>中美国债收益率曲线日报（API版）</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76</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2026-07-12</w:t>
            </w:r>
          </w:p>
        </w:tc>
        <w:tc>
          <w:tcPr>
            <w:tcW w:type="dxa" w:w="5940"/>
            <w:tcMar>
              <w:top w:w="80" w:type="dxa"/>
              <w:bottom w:w="80" w:type="dxa"/>
              <w:start w:w="120" w:type="dxa"/>
              <w:end w:w="120" w:type="dxa"/>
            </w:tcMar>
          </w:tcPr>
          <w:p>
            <w:pPr>
              <w:spacing w:after="20"/>
            </w:pPr>
            <w:hyperlink r:id="rId131">
              <w:r>
                <w:rPr>
                  <w:color w:val="1D5FD1"/>
                  <w:u w:val="single"/>
                  <w:b/>
                  <w:sz w:val="16"/>
                  <w:szCs w:val="16"/>
                  <w:rFonts w:ascii="Calibri" w:hAnsi="Calibri" w:eastAsia="Hiragino Sans GB"/>
                </w:rPr>
                <w:t>美国电力设备对华关税与反规避路径对A股变压器出海链的证伪风险，2026-07-12</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77</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2026-07-12</w:t>
            </w:r>
          </w:p>
        </w:tc>
        <w:tc>
          <w:tcPr>
            <w:tcW w:type="dxa" w:w="5940"/>
            <w:tcMar>
              <w:top w:w="80" w:type="dxa"/>
              <w:bottom w:w="80" w:type="dxa"/>
              <w:start w:w="120" w:type="dxa"/>
              <w:end w:w="120" w:type="dxa"/>
            </w:tcMar>
          </w:tcPr>
          <w:p>
            <w:pPr>
              <w:spacing w:after="20"/>
            </w:pPr>
            <w:hyperlink r:id="rId132">
              <w:r>
                <w:rPr>
                  <w:color w:val="1D5FD1"/>
                  <w:u w:val="single"/>
                  <w:b/>
                  <w:sz w:val="16"/>
                  <w:szCs w:val="16"/>
                  <w:rFonts w:ascii="Calibri" w:hAnsi="Calibri" w:eastAsia="Hiragino Sans GB"/>
                </w:rPr>
                <w:t>A股市场结构验证：北向成交、融资余额与质量红利拥挤度</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thesis_evidence / thesis_context / lane_evidence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78</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2026-07-12</w:t>
            </w:r>
          </w:p>
        </w:tc>
        <w:tc>
          <w:tcPr>
            <w:tcW w:type="dxa" w:w="5940"/>
            <w:tcMar>
              <w:top w:w="80" w:type="dxa"/>
              <w:bottom w:w="80" w:type="dxa"/>
              <w:start w:w="120" w:type="dxa"/>
              <w:end w:w="120" w:type="dxa"/>
            </w:tcMar>
          </w:tcPr>
          <w:p>
            <w:pPr>
              <w:spacing w:after="20"/>
            </w:pPr>
            <w:hyperlink r:id="rId133">
              <w:r>
                <w:rPr>
                  <w:color w:val="1D5FD1"/>
                  <w:u w:val="single"/>
                  <w:b/>
                  <w:sz w:val="16"/>
                  <w:szCs w:val="16"/>
                  <w:rFonts w:ascii="Calibri" w:hAnsi="Calibri" w:eastAsia="Hiragino Sans GB"/>
                </w:rPr>
                <w:t>AI数据中心电网与电力供应瓶颈的结构性制约</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 / stock_evidence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79</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2026-07-12</w:t>
            </w:r>
          </w:p>
        </w:tc>
        <w:tc>
          <w:tcPr>
            <w:tcW w:type="dxa" w:w="5940"/>
            <w:tcMar>
              <w:top w:w="80" w:type="dxa"/>
              <w:bottom w:w="80" w:type="dxa"/>
              <w:start w:w="120" w:type="dxa"/>
              <w:end w:w="120" w:type="dxa"/>
            </w:tcMar>
          </w:tcPr>
          <w:p>
            <w:pPr>
              <w:spacing w:after="20"/>
            </w:pPr>
            <w:hyperlink r:id="rId134">
              <w:r>
                <w:rPr>
                  <w:color w:val="1D5FD1"/>
                  <w:u w:val="single"/>
                  <w:b/>
                  <w:sz w:val="16"/>
                  <w:szCs w:val="16"/>
                  <w:rFonts w:ascii="Calibri" w:hAnsi="Calibri" w:eastAsia="Hiragino Sans GB"/>
                </w:rPr>
                <w:t>AI电力瓶颈下的跨资产哑铃配置、杠铃风格与情景压力测试报告</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r>
        <w:trPr>
          <w:cantSplit/>
        </w:trPr>
        <w:tc>
          <w:tcPr>
            <w:tcW w:type="dxa" w:w="520"/>
            <w:tcMar>
              <w:top w:w="80" w:type="dxa"/>
              <w:bottom w:w="80" w:type="dxa"/>
              <w:start w:w="120" w:type="dxa"/>
              <w:end w:w="120" w:type="dxa"/>
            </w:tcMar>
          </w:tcPr>
          <w:p>
            <w:pPr>
              <w:spacing w:before="0" w:after="0" w:line="252" w:lineRule="auto"/>
            </w:pPr>
            <w:r>
              <w:rPr>
                <w:rFonts w:ascii="Calibri" w:hAnsi="Calibri" w:eastAsia="Hiragino Sans GB"/>
                <w:b/>
                <w:color w:val="5E6268"/>
                <w:sz w:val="15"/>
              </w:rPr>
              <w:t>80</w:t>
            </w:r>
          </w:p>
        </w:tc>
        <w:tc>
          <w:tcPr>
            <w:tcW w:type="dxa" w:w="1240"/>
            <w:tcMar>
              <w:top w:w="80" w:type="dxa"/>
              <w:bottom w:w="80" w:type="dxa"/>
              <w:start w:w="120" w:type="dxa"/>
              <w:end w:w="120" w:type="dxa"/>
            </w:tcMar>
          </w:tcPr>
          <w:p>
            <w:pPr>
              <w:spacing w:before="0" w:after="0" w:line="252" w:lineRule="auto"/>
            </w:pPr>
            <w:r>
              <w:rPr>
                <w:rFonts w:ascii="Calibri" w:hAnsi="Calibri" w:eastAsia="Hiragino Sans GB"/>
                <w:b w:val="0"/>
                <w:color w:val="111111"/>
                <w:sz w:val="15"/>
              </w:rPr>
              <w:t>2026-07-12</w:t>
            </w:r>
          </w:p>
        </w:tc>
        <w:tc>
          <w:tcPr>
            <w:tcW w:type="dxa" w:w="5940"/>
            <w:tcMar>
              <w:top w:w="80" w:type="dxa"/>
              <w:bottom w:w="80" w:type="dxa"/>
              <w:start w:w="120" w:type="dxa"/>
              <w:end w:w="120" w:type="dxa"/>
            </w:tcMar>
          </w:tcPr>
          <w:p>
            <w:pPr>
              <w:spacing w:after="20"/>
            </w:pPr>
            <w:hyperlink r:id="rId135">
              <w:r>
                <w:rPr>
                  <w:color w:val="1D5FD1"/>
                  <w:u w:val="single"/>
                  <w:b/>
                  <w:sz w:val="16"/>
                  <w:szCs w:val="16"/>
                  <w:rFonts w:ascii="Calibri" w:hAnsi="Calibri" w:eastAsia="Hiragino Sans GB"/>
                </w:rPr>
                <w:t>AI电网瓶颈下的跨资产配置与美股科技-公用事业-电力设备组合权重</w:t>
              </w:r>
            </w:hyperlink>
            <w:r>
              <w:rPr>
                <w:rFonts w:ascii="Calibri" w:hAnsi="Calibri" w:eastAsia="Hiragino Sans GB"/>
                <w:color w:val="5E6268"/>
                <w:sz w:val="14"/>
              </w:rPr>
              <w:br/>
              <w:t>AI Institute · 研究档案</w:t>
            </w:r>
          </w:p>
        </w:tc>
        <w:tc>
          <w:tcPr>
            <w:tcW w:type="dxa" w:w="1660"/>
            <w:tcMar>
              <w:top w:w="80" w:type="dxa"/>
              <w:bottom w:w="80" w:type="dxa"/>
              <w:start w:w="120" w:type="dxa"/>
              <w:end w:w="120" w:type="dxa"/>
            </w:tcMar>
          </w:tcPr>
          <w:p>
            <w:pPr>
              <w:spacing w:before="0" w:after="0" w:line="252" w:lineRule="auto"/>
            </w:pPr>
            <w:r>
              <w:rPr>
                <w:rFonts w:ascii="Calibri" w:hAnsi="Calibri" w:eastAsia="Hiragino Sans GB"/>
                <w:b w:val="0"/>
                <w:color w:val="5E6268"/>
                <w:sz w:val="14"/>
              </w:rPr>
              <w:t>challenge</w:t>
            </w:r>
          </w:p>
        </w:tc>
      </w:tr>
    </w:tbl>
    <w:p>
      <w:pPr>
        <w:pStyle w:val="TableCitation"/>
      </w:pPr>
      <w:r>
        <w:t>来源账本来自同一周度发布合约；未引入私有运行记录、密钥或内部提示。</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Hiragino Sans GB"/>
        <w:b/>
        <w:color w:val="5E6268"/>
        <w:sz w:val="17"/>
      </w:rPr>
      <w:t xml:space="preserve">ADMIN RESEARCH PUBLICATION  ·  </w:t>
    </w:r>
    <w:r>
      <w:rPr>
        <w:rFonts w:ascii="Calibri" w:hAnsi="Calibri" w:eastAsia="Hiragino Sans GB"/>
        <w:color w:val="5E6268"/>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Hiragino Sans GB"/>
        <w:b/>
        <w:color w:val="5E6268"/>
        <w:sz w:val="17"/>
      </w:rPr>
      <w:t>AI INSTITUTE  /  WEEKLY RESEARCH  /  2026-W29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264" w:lineRule="auto"/>
    </w:pPr>
    <w:rPr>
      <w:rFonts w:ascii="Calibri" w:hAnsi="Calibri" w:eastAsia="Hiragino Sans GB"/>
      <w:b w:val="0"/>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eastAsia="Hiragino Sans GB"/>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eastAsia="Hiragino Sans GB"/>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eastAsia="Hiragino Sans GB"/>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pPr>
      <w:keepNext w:val="0"/>
      <w:spacing w:before="80" w:after="80" w:line="240" w:lineRule="auto"/>
    </w:pPr>
    <w:rPr>
      <w:rFonts w:ascii="Calibri" w:hAnsi="Calibri" w:eastAsia="Hiragino Sans GB"/>
      <w:b w:val="0"/>
      <w:color w:val="5E6268"/>
      <w:sz w:val="17"/>
    </w:rPr>
  </w:style>
  <w:style w:type="paragraph" w:customStyle="1" w:styleId="SectionLabel">
    <w:name w:val="Section Label"/>
    <w:pPr>
      <w:keepNext/>
      <w:spacing w:before="0" w:after="80" w:line="240" w:lineRule="auto"/>
    </w:pPr>
    <w:rPr>
      <w:rFonts w:ascii="Calibri" w:hAnsi="Calibri" w:eastAsia="Hiragino Sans GB"/>
      <w:b/>
      <w:color w:val="1D5FD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vibe-alpha-three.vercel.app/investor/panorama/2026-W29/" TargetMode="External"/><Relationship Id="rId12" Type="http://schemas.openxmlformats.org/officeDocument/2006/relationships/hyperlink" Target="https://vibe-alpha-three.vercel.app/investor/lanes/a-share-dividend-and-hard-tech-barbell/" TargetMode="External"/><Relationship Id="rId13" Type="http://schemas.openxmlformats.org/officeDocument/2006/relationships/hyperlink" Target="https://vibe-alpha-three.vercel.app/investor/lanes/mag7-ai-platform-re-layering/" TargetMode="External"/><Relationship Id="rId14" Type="http://schemas.openxmlformats.org/officeDocument/2006/relationships/hyperlink" Target="https://vibe-alpha-three.vercel.app/investor/lanes/hotels-restaurants-leisure-and-services-consumption/" TargetMode="External"/><Relationship Id="rId15" Type="http://schemas.openxmlformats.org/officeDocument/2006/relationships/hyperlink" Target="https://vibe-alpha-three.vercel.app/investor/lanes/ai-reflation-and-rate-sensitive-assets/" TargetMode="External"/><Relationship Id="rId16" Type="http://schemas.openxmlformats.org/officeDocument/2006/relationships/hyperlink" Target="https://vibe-alpha-three.vercel.app/investor/lanes/ai-software-productivity/" TargetMode="External"/><Relationship Id="rId17" Type="http://schemas.openxmlformats.org/officeDocument/2006/relationships/hyperlink" Target="https://vibe-alpha-three.vercel.app/investor/lanes/domestic-it-substitution-stack/" TargetMode="External"/><Relationship Id="rId18" Type="http://schemas.openxmlformats.org/officeDocument/2006/relationships/hyperlink" Target="https://vibe-alpha-three.vercel.app/investor/reports/archive-36d2548179b8/" TargetMode="External"/><Relationship Id="rId19" Type="http://schemas.openxmlformats.org/officeDocument/2006/relationships/hyperlink" Target="https://vibe-alpha-three.vercel.app/investor/reports/archive-e13addb05726/" TargetMode="External"/><Relationship Id="rId20" Type="http://schemas.openxmlformats.org/officeDocument/2006/relationships/hyperlink" Target="https://vibe-alpha-three.vercel.app/investor/reports/archive-42f4e7d6f72b/" TargetMode="External"/><Relationship Id="rId21" Type="http://schemas.openxmlformats.org/officeDocument/2006/relationships/hyperlink" Target="https://vibe-alpha-three.vercel.app/investor/theses/thesis-70daf87262/" TargetMode="External"/><Relationship Id="rId22" Type="http://schemas.openxmlformats.org/officeDocument/2006/relationships/hyperlink" Target="https://vibe-alpha-three.vercel.app/investor/reports/archive-c3acb6a4b098/" TargetMode="External"/><Relationship Id="rId23" Type="http://schemas.openxmlformats.org/officeDocument/2006/relationships/hyperlink" Target="https://vibe-alpha-three.vercel.app/investor/reports/archive-3c734751347d/" TargetMode="External"/><Relationship Id="rId24" Type="http://schemas.openxmlformats.org/officeDocument/2006/relationships/hyperlink" Target="https://vibe-alpha-three.vercel.app/investor/theses/thesis-8c5a9690a0/" TargetMode="External"/><Relationship Id="rId25" Type="http://schemas.openxmlformats.org/officeDocument/2006/relationships/hyperlink" Target="https://vibe-alpha-three.vercel.app/investor/reports/archive-745beda49295/" TargetMode="External"/><Relationship Id="rId26" Type="http://schemas.openxmlformats.org/officeDocument/2006/relationships/hyperlink" Target="https://vibe-alpha-three.vercel.app/investor/reports/archive-0e1bb4783cd7/" TargetMode="External"/><Relationship Id="rId27" Type="http://schemas.openxmlformats.org/officeDocument/2006/relationships/hyperlink" Target="https://vibe-alpha-three.vercel.app/investor/reports/archive-0ad0d6837c8b/" TargetMode="External"/><Relationship Id="rId28" Type="http://schemas.openxmlformats.org/officeDocument/2006/relationships/hyperlink" Target="https://vibe-alpha-three.vercel.app/investor/theses/thesis-c89650af9e/" TargetMode="External"/><Relationship Id="rId29" Type="http://schemas.openxmlformats.org/officeDocument/2006/relationships/hyperlink" Target="https://vibe-alpha-three.vercel.app/investor/reports/archive-220443eb075b/" TargetMode="External"/><Relationship Id="rId30" Type="http://schemas.openxmlformats.org/officeDocument/2006/relationships/hyperlink" Target="https://vibe-alpha-three.vercel.app/investor/reports/archive-17f5a7e3868f/" TargetMode="External"/><Relationship Id="rId31" Type="http://schemas.openxmlformats.org/officeDocument/2006/relationships/hyperlink" Target="https://vibe-alpha-three.vercel.app/investor/reports/archive-4246d9420dac/" TargetMode="External"/><Relationship Id="rId32" Type="http://schemas.openxmlformats.org/officeDocument/2006/relationships/hyperlink" Target="https://vibe-alpha-three.vercel.app/investor/theses/thesis-075017003b/" TargetMode="External"/><Relationship Id="rId33" Type="http://schemas.openxmlformats.org/officeDocument/2006/relationships/hyperlink" Target="https://vibe-alpha-three.vercel.app/investor/theses/thesis-9d3836cc07/" TargetMode="External"/><Relationship Id="rId34" Type="http://schemas.openxmlformats.org/officeDocument/2006/relationships/hyperlink" Target="https://vibe-alpha-three.vercel.app/investor/reports/archive-96b0208bc597/" TargetMode="External"/><Relationship Id="rId35" Type="http://schemas.openxmlformats.org/officeDocument/2006/relationships/hyperlink" Target="https://vibe-alpha-three.vercel.app/investor/reports/archive-820dd2ff2540/" TargetMode="External"/><Relationship Id="rId36" Type="http://schemas.openxmlformats.org/officeDocument/2006/relationships/hyperlink" Target="https://vibe-alpha-three.vercel.app/investor/theses/thesis-7a6599a3f5/" TargetMode="External"/><Relationship Id="rId37" Type="http://schemas.openxmlformats.org/officeDocument/2006/relationships/hyperlink" Target="https://vibe-alpha-three.vercel.app/investor/stocks/600900.SH/" TargetMode="External"/><Relationship Id="rId38" Type="http://schemas.openxmlformats.org/officeDocument/2006/relationships/hyperlink" Target="https://vibe-alpha-three.vercel.app/investor/stocks/601398.SH/" TargetMode="External"/><Relationship Id="rId39" Type="http://schemas.openxmlformats.org/officeDocument/2006/relationships/hyperlink" Target="https://vibe-alpha-three.vercel.app/investor/stocks/601088.SH/" TargetMode="External"/><Relationship Id="rId40" Type="http://schemas.openxmlformats.org/officeDocument/2006/relationships/hyperlink" Target="https://vibe-alpha-three.vercel.app/investor/stocks/688981.SH/" TargetMode="External"/><Relationship Id="rId41" Type="http://schemas.openxmlformats.org/officeDocument/2006/relationships/hyperlink" Target="https://vibe-alpha-three.vercel.app/investor/stocks/588000.SH/" TargetMode="External"/><Relationship Id="rId42" Type="http://schemas.openxmlformats.org/officeDocument/2006/relationships/hyperlink" Target="https://vibe-alpha-three.vercel.app/investor/stocks/600941.SH/" TargetMode="External"/><Relationship Id="rId43" Type="http://schemas.openxmlformats.org/officeDocument/2006/relationships/hyperlink" Target="https://vibe-alpha-three.vercel.app/investor/stocks/META/" TargetMode="External"/><Relationship Id="rId44" Type="http://schemas.openxmlformats.org/officeDocument/2006/relationships/hyperlink" Target="https://vibe-alpha-three.vercel.app/investor/stocks/MSFT/" TargetMode="External"/><Relationship Id="rId45" Type="http://schemas.openxmlformats.org/officeDocument/2006/relationships/hyperlink" Target="https://vibe-alpha-three.vercel.app/investor/stocks/NVDA/" TargetMode="External"/><Relationship Id="rId46" Type="http://schemas.openxmlformats.org/officeDocument/2006/relationships/hyperlink" Target="https://vibe-alpha-three.vercel.app/investor/stocks/AMZN/" TargetMode="External"/><Relationship Id="rId47" Type="http://schemas.openxmlformats.org/officeDocument/2006/relationships/hyperlink" Target="https://vibe-alpha-three.vercel.app/investor/stocks/GOOGL/" TargetMode="External"/><Relationship Id="rId48" Type="http://schemas.openxmlformats.org/officeDocument/2006/relationships/hyperlink" Target="https://vibe-alpha-three.vercel.app/investor/stocks/TSM/" TargetMode="External"/><Relationship Id="rId49" Type="http://schemas.openxmlformats.org/officeDocument/2006/relationships/hyperlink" Target="https://vibe-alpha-three.vercel.app/investor/stocks/001215.SZ/" TargetMode="External"/><Relationship Id="rId50" Type="http://schemas.openxmlformats.org/officeDocument/2006/relationships/hyperlink" Target="https://vibe-alpha-three.vercel.app/investor/stocks/9922.HK/" TargetMode="External"/><Relationship Id="rId51" Type="http://schemas.openxmlformats.org/officeDocument/2006/relationships/hyperlink" Target="https://vibe-alpha-three.vercel.app/investor/stocks/3690.HK/" TargetMode="External"/><Relationship Id="rId52" Type="http://schemas.openxmlformats.org/officeDocument/2006/relationships/hyperlink" Target="https://vibe-alpha-three.vercel.app/investor/stocks/YUMC/" TargetMode="External"/><Relationship Id="rId53" Type="http://schemas.openxmlformats.org/officeDocument/2006/relationships/hyperlink" Target="https://vibe-alpha-three.vercel.app/investor/stocks/1179.HK/" TargetMode="External"/><Relationship Id="rId54" Type="http://schemas.openxmlformats.org/officeDocument/2006/relationships/hyperlink" Target="https://vibe-alpha-three.vercel.app/investor/stocks/300144.SZ/" TargetMode="External"/><Relationship Id="rId55" Type="http://schemas.openxmlformats.org/officeDocument/2006/relationships/hyperlink" Target="https://vibe-alpha-three.vercel.app/investor/stocks/TLT/" TargetMode="External"/><Relationship Id="rId56" Type="http://schemas.openxmlformats.org/officeDocument/2006/relationships/hyperlink" Target="https://vibe-alpha-three.vercel.app/investor/stocks/GLD/" TargetMode="External"/><Relationship Id="rId57" Type="http://schemas.openxmlformats.org/officeDocument/2006/relationships/hyperlink" Target="https://vibe-alpha-three.vercel.app/investor/stocks/XLU/" TargetMode="External"/><Relationship Id="rId58" Type="http://schemas.openxmlformats.org/officeDocument/2006/relationships/hyperlink" Target="https://vibe-alpha-three.vercel.app/investor/stocks/NOW/" TargetMode="External"/><Relationship Id="rId59" Type="http://schemas.openxmlformats.org/officeDocument/2006/relationships/hyperlink" Target="https://vibe-alpha-three.vercel.app/investor/lanes/ai-power-and-grid-equipment/" TargetMode="External"/><Relationship Id="rId60" Type="http://schemas.openxmlformats.org/officeDocument/2006/relationships/hyperlink" Target="https://vibe-alpha-three.vercel.app/investor/lanes/a-share-semiconductor-margin-and-negative-gamma/" TargetMode="External"/><Relationship Id="rId61" Type="http://schemas.openxmlformats.org/officeDocument/2006/relationships/hyperlink" Target="https://vibe-alpha-three.vercel.app/investor/lanes/a-share-risk-appetite-and-margin/" TargetMode="External"/><Relationship Id="rId62" Type="http://schemas.openxmlformats.org/officeDocument/2006/relationships/hyperlink" Target="https://vibe-alpha-three.vercel.app/investor/lanes/oil-gas-and-geopolitical-inflation/" TargetMode="External"/><Relationship Id="rId63" Type="http://schemas.openxmlformats.org/officeDocument/2006/relationships/hyperlink" Target="https://vibe-alpha-three.vercel.app/investor/lanes/utilities-grid-rate-base-and-credit/" TargetMode="External"/><Relationship Id="rId64" Type="http://schemas.openxmlformats.org/officeDocument/2006/relationships/hyperlink" Target="https://vibe-alpha-three.vercel.app/investor/lanes/us-rates-and-dollar-repricing/" TargetMode="External"/><Relationship Id="rId65" Type="http://schemas.openxmlformats.org/officeDocument/2006/relationships/hyperlink" Target="https://vibe-alpha-three.vercel.app/investor/lanes/advanced-packaging-and-hbm4-gate/" TargetMode="External"/><Relationship Id="rId66" Type="http://schemas.openxmlformats.org/officeDocument/2006/relationships/hyperlink" Target="https://vibe-alpha-three.vercel.app/investor/lanes/rmb-dollar-and-liquidity-sensitive-assets/" TargetMode="External"/><Relationship Id="rId67" Type="http://schemas.openxmlformats.org/officeDocument/2006/relationships/hyperlink" Target="https://vibe-alpha-three.vercel.app/investor/lanes/ai-compute-semiconductors/" TargetMode="External"/><Relationship Id="rId68" Type="http://schemas.openxmlformats.org/officeDocument/2006/relationships/hyperlink" Target="https://vibe-alpha-three.vercel.app/investor/lanes/a-share-hard-tech-and-star50/" TargetMode="External"/><Relationship Id="rId69" Type="http://schemas.openxmlformats.org/officeDocument/2006/relationships/hyperlink" Target="https://vibe-alpha-three.vercel.app/investor/reports/archive-dd2a340ff133/" TargetMode="External"/><Relationship Id="rId70" Type="http://schemas.openxmlformats.org/officeDocument/2006/relationships/hyperlink" Target="https://vibe-alpha-three.vercel.app/investor/reports/archive-73e880e35d2d/" TargetMode="External"/><Relationship Id="rId71" Type="http://schemas.openxmlformats.org/officeDocument/2006/relationships/hyperlink" Target="https://vibe-alpha-three.vercel.app/investor/reports/archive-082e325a0c00/" TargetMode="External"/><Relationship Id="rId72" Type="http://schemas.openxmlformats.org/officeDocument/2006/relationships/hyperlink" Target="https://vibe-alpha-three.vercel.app/investor/reports/archive-9da9d6de23c1/" TargetMode="External"/><Relationship Id="rId73" Type="http://schemas.openxmlformats.org/officeDocument/2006/relationships/hyperlink" Target="https://vibe-alpha-three.vercel.app/investor/reports/archive-fc7f726e99db/" TargetMode="External"/><Relationship Id="rId74" Type="http://schemas.openxmlformats.org/officeDocument/2006/relationships/hyperlink" Target="https://vibe-alpha-three.vercel.app/investor/reports/archive-4ff364945767/" TargetMode="External"/><Relationship Id="rId75" Type="http://schemas.openxmlformats.org/officeDocument/2006/relationships/hyperlink" Target="https://vibe-alpha-three.vercel.app/investor/reports/archive-30dedfe1fd59/" TargetMode="External"/><Relationship Id="rId76" Type="http://schemas.openxmlformats.org/officeDocument/2006/relationships/hyperlink" Target="https://vibe-alpha-three.vercel.app/investor/reports/archive-f8d5fc8cf257/" TargetMode="External"/><Relationship Id="rId77" Type="http://schemas.openxmlformats.org/officeDocument/2006/relationships/hyperlink" Target="https://vibe-alpha-three.vercel.app/investor/reports/archive-a415549296ac/" TargetMode="External"/><Relationship Id="rId78" Type="http://schemas.openxmlformats.org/officeDocument/2006/relationships/hyperlink" Target="https://vibe-alpha-three.vercel.app/investor/reports/archive-d3c2dca5bff1/" TargetMode="External"/><Relationship Id="rId79" Type="http://schemas.openxmlformats.org/officeDocument/2006/relationships/hyperlink" Target="https://vibe-alpha-three.vercel.app/investor/reports/archive-e65e3decb758/" TargetMode="External"/><Relationship Id="rId80" Type="http://schemas.openxmlformats.org/officeDocument/2006/relationships/hyperlink" Target="https://vibe-alpha-three.vercel.app/investor/reports/reader-daily-reader-2026-07-14/" TargetMode="External"/><Relationship Id="rId81" Type="http://schemas.openxmlformats.org/officeDocument/2006/relationships/hyperlink" Target="https://vibe-alpha-three.vercel.app/investor/reports/archive-b80455c27de8/" TargetMode="External"/><Relationship Id="rId82" Type="http://schemas.openxmlformats.org/officeDocument/2006/relationships/hyperlink" Target="https://vibe-alpha-three.vercel.app/investor/reports/archive-be0b6d4bc29c/" TargetMode="External"/><Relationship Id="rId83" Type="http://schemas.openxmlformats.org/officeDocument/2006/relationships/hyperlink" Target="https://vibe-alpha-three.vercel.app/investor/reports/archive-56901fe29210/" TargetMode="External"/><Relationship Id="rId84" Type="http://schemas.openxmlformats.org/officeDocument/2006/relationships/hyperlink" Target="https://vibe-alpha-three.vercel.app/investor/reports/archive-e52dc340f097/" TargetMode="External"/><Relationship Id="rId85" Type="http://schemas.openxmlformats.org/officeDocument/2006/relationships/hyperlink" Target="https://vibe-alpha-three.vercel.app/investor/reports/archive-da31ea93e004/" TargetMode="External"/><Relationship Id="rId86" Type="http://schemas.openxmlformats.org/officeDocument/2006/relationships/hyperlink" Target="https://vibe-alpha-three.vercel.app/investor/reports/archive-ee86ba9b0d14/" TargetMode="External"/><Relationship Id="rId87" Type="http://schemas.openxmlformats.org/officeDocument/2006/relationships/hyperlink" Target="https://vibe-alpha-three.vercel.app/investor/reports/archive-e9e3a138b723/" TargetMode="External"/><Relationship Id="rId88" Type="http://schemas.openxmlformats.org/officeDocument/2006/relationships/hyperlink" Target="https://vibe-alpha-three.vercel.app/investor/reports/archive-3a985151f983/" TargetMode="External"/><Relationship Id="rId89" Type="http://schemas.openxmlformats.org/officeDocument/2006/relationships/hyperlink" Target="https://vibe-alpha-three.vercel.app/investor/reports/archive-290d941d46ac/" TargetMode="External"/><Relationship Id="rId90" Type="http://schemas.openxmlformats.org/officeDocument/2006/relationships/hyperlink" Target="https://vibe-alpha-three.vercel.app/investor/reports/archive-21aa610957e4/" TargetMode="External"/><Relationship Id="rId91" Type="http://schemas.openxmlformats.org/officeDocument/2006/relationships/hyperlink" Target="https://vibe-alpha-three.vercel.app/investor/reports/archive-6591f8a122d8/" TargetMode="External"/><Relationship Id="rId92" Type="http://schemas.openxmlformats.org/officeDocument/2006/relationships/hyperlink" Target="https://vibe-alpha-three.vercel.app/investor/reports/archive-ba266f1166ac/" TargetMode="External"/><Relationship Id="rId93" Type="http://schemas.openxmlformats.org/officeDocument/2006/relationships/hyperlink" Target="https://vibe-alpha-three.vercel.app/investor/reports/archive-0822e5596d78/" TargetMode="External"/><Relationship Id="rId94" Type="http://schemas.openxmlformats.org/officeDocument/2006/relationships/hyperlink" Target="https://vibe-alpha-three.vercel.app/investor/reports/archive-d7c18538adfa/" TargetMode="External"/><Relationship Id="rId95" Type="http://schemas.openxmlformats.org/officeDocument/2006/relationships/hyperlink" Target="https://vibe-alpha-three.vercel.app/investor/reports/archive-44d3f9b6907b/" TargetMode="External"/><Relationship Id="rId96" Type="http://schemas.openxmlformats.org/officeDocument/2006/relationships/hyperlink" Target="https://vibe-alpha-three.vercel.app/investor/reports/archive-5a92f8007d59/" TargetMode="External"/><Relationship Id="rId97" Type="http://schemas.openxmlformats.org/officeDocument/2006/relationships/hyperlink" Target="https://vibe-alpha-three.vercel.app/investor/reports/archive-71c0d6db24bd/" TargetMode="External"/><Relationship Id="rId98" Type="http://schemas.openxmlformats.org/officeDocument/2006/relationships/hyperlink" Target="https://vibe-alpha-three.vercel.app/investor/reports/archive-827d09356a51/" TargetMode="External"/><Relationship Id="rId99" Type="http://schemas.openxmlformats.org/officeDocument/2006/relationships/hyperlink" Target="https://vibe-alpha-three.vercel.app/investor/reports/archive-7ac37ec3573a/" TargetMode="External"/><Relationship Id="rId100" Type="http://schemas.openxmlformats.org/officeDocument/2006/relationships/hyperlink" Target="https://vibe-alpha-three.vercel.app/investor/reports/archive-76d83fb0228c/" TargetMode="External"/><Relationship Id="rId101" Type="http://schemas.openxmlformats.org/officeDocument/2006/relationships/hyperlink" Target="https://vibe-alpha-three.vercel.app/investor/reports/archive-78feab9d25a4/" TargetMode="External"/><Relationship Id="rId102" Type="http://schemas.openxmlformats.org/officeDocument/2006/relationships/hyperlink" Target="https://vibe-alpha-three.vercel.app/investor/reports/archive-f5916243c1a8/" TargetMode="External"/><Relationship Id="rId103" Type="http://schemas.openxmlformats.org/officeDocument/2006/relationships/hyperlink" Target="https://vibe-alpha-three.vercel.app/investor/reports/archive-c1b73caf2e64/" TargetMode="External"/><Relationship Id="rId104" Type="http://schemas.openxmlformats.org/officeDocument/2006/relationships/hyperlink" Target="https://vibe-alpha-three.vercel.app/investor/reports/archive-6f1523f44f8a/" TargetMode="External"/><Relationship Id="rId105" Type="http://schemas.openxmlformats.org/officeDocument/2006/relationships/hyperlink" Target="https://vibe-alpha-three.vercel.app/investor/reports/archive-32b29773be48/" TargetMode="External"/><Relationship Id="rId106" Type="http://schemas.openxmlformats.org/officeDocument/2006/relationships/hyperlink" Target="https://vibe-alpha-three.vercel.app/investor/reports/archive-15c466ea7134/" TargetMode="External"/><Relationship Id="rId107" Type="http://schemas.openxmlformats.org/officeDocument/2006/relationships/hyperlink" Target="https://vibe-alpha-three.vercel.app/investor/reports/archive-ca3ebd7bef63/" TargetMode="External"/><Relationship Id="rId108" Type="http://schemas.openxmlformats.org/officeDocument/2006/relationships/hyperlink" Target="https://vibe-alpha-three.vercel.app/investor/reports/archive-4b09b6f5ebf6/" TargetMode="External"/><Relationship Id="rId109" Type="http://schemas.openxmlformats.org/officeDocument/2006/relationships/hyperlink" Target="https://vibe-alpha-three.vercel.app/investor/reports/archive-9784dc55d9ed/" TargetMode="External"/><Relationship Id="rId110" Type="http://schemas.openxmlformats.org/officeDocument/2006/relationships/hyperlink" Target="https://vibe-alpha-three.vercel.app/investor/reports/archive-de06387f62d8/" TargetMode="External"/><Relationship Id="rId111" Type="http://schemas.openxmlformats.org/officeDocument/2006/relationships/hyperlink" Target="https://vibe-alpha-three.vercel.app/investor/reports/archive-7d67a4fbf551/" TargetMode="External"/><Relationship Id="rId112" Type="http://schemas.openxmlformats.org/officeDocument/2006/relationships/hyperlink" Target="https://vibe-alpha-three.vercel.app/investor/reports/archive-483ea8101e4e/" TargetMode="External"/><Relationship Id="rId113" Type="http://schemas.openxmlformats.org/officeDocument/2006/relationships/hyperlink" Target="https://vibe-alpha-three.vercel.app/investor/reports/archive-337251936cb6/" TargetMode="External"/><Relationship Id="rId114" Type="http://schemas.openxmlformats.org/officeDocument/2006/relationships/hyperlink" Target="https://vibe-alpha-three.vercel.app/investor/reports/archive-02c2b6c0a483/" TargetMode="External"/><Relationship Id="rId115" Type="http://schemas.openxmlformats.org/officeDocument/2006/relationships/hyperlink" Target="https://vibe-alpha-three.vercel.app/investor/reports/archive-32bf37d77b2e/" TargetMode="External"/><Relationship Id="rId116" Type="http://schemas.openxmlformats.org/officeDocument/2006/relationships/hyperlink" Target="https://vibe-alpha-three.vercel.app/investor/reports/archive-55e160db5859/" TargetMode="External"/><Relationship Id="rId117" Type="http://schemas.openxmlformats.org/officeDocument/2006/relationships/hyperlink" Target="https://vibe-alpha-three.vercel.app/investor/reports/archive-7050a4d211c1/" TargetMode="External"/><Relationship Id="rId118" Type="http://schemas.openxmlformats.org/officeDocument/2006/relationships/hyperlink" Target="https://vibe-alpha-three.vercel.app/investor/reports/archive-1afb3077b001/" TargetMode="External"/><Relationship Id="rId119" Type="http://schemas.openxmlformats.org/officeDocument/2006/relationships/hyperlink" Target="https://vibe-alpha-three.vercel.app/investor/reports/archive-aa57d78c282c/" TargetMode="External"/><Relationship Id="rId120" Type="http://schemas.openxmlformats.org/officeDocument/2006/relationships/hyperlink" Target="https://vibe-alpha-three.vercel.app/investor/reports/archive-54c0c3ae18d4/" TargetMode="External"/><Relationship Id="rId121" Type="http://schemas.openxmlformats.org/officeDocument/2006/relationships/hyperlink" Target="https://vibe-alpha-three.vercel.app/investor/reports/archive-7e084849a5b1/" TargetMode="External"/><Relationship Id="rId122" Type="http://schemas.openxmlformats.org/officeDocument/2006/relationships/hyperlink" Target="https://vibe-alpha-three.vercel.app/investor/reports/archive-86426bf4ec7d/" TargetMode="External"/><Relationship Id="rId123" Type="http://schemas.openxmlformats.org/officeDocument/2006/relationships/hyperlink" Target="https://vibe-alpha-three.vercel.app/investor/reports/archive-ce88398eeb3c/" TargetMode="External"/><Relationship Id="rId124" Type="http://schemas.openxmlformats.org/officeDocument/2006/relationships/hyperlink" Target="https://vibe-alpha-three.vercel.app/investor/reports/archive-2cfd562681b0/" TargetMode="External"/><Relationship Id="rId125" Type="http://schemas.openxmlformats.org/officeDocument/2006/relationships/hyperlink" Target="https://vibe-alpha-three.vercel.app/investor/reports/archive-3409749fbf98/" TargetMode="External"/><Relationship Id="rId126" Type="http://schemas.openxmlformats.org/officeDocument/2006/relationships/hyperlink" Target="https://vibe-alpha-three.vercel.app/investor/reports/archive-504d105c492b/" TargetMode="External"/><Relationship Id="rId127" Type="http://schemas.openxmlformats.org/officeDocument/2006/relationships/hyperlink" Target="https://vibe-alpha-three.vercel.app/investor/reports/archive-6f7cc4144f27/" TargetMode="External"/><Relationship Id="rId128" Type="http://schemas.openxmlformats.org/officeDocument/2006/relationships/hyperlink" Target="https://vibe-alpha-three.vercel.app/investor/reports/archive-1eb689f45428/" TargetMode="External"/><Relationship Id="rId129" Type="http://schemas.openxmlformats.org/officeDocument/2006/relationships/hyperlink" Target="https://vibe-alpha-three.vercel.app/investor/reports/archive-f342590f89ad/" TargetMode="External"/><Relationship Id="rId130" Type="http://schemas.openxmlformats.org/officeDocument/2006/relationships/hyperlink" Target="https://vibe-alpha-three.vercel.app/investor/reports/archive-f98b1b2a4787/" TargetMode="External"/><Relationship Id="rId131" Type="http://schemas.openxmlformats.org/officeDocument/2006/relationships/hyperlink" Target="https://vibe-alpha-three.vercel.app/investor/reports/archive-382efe9c8f3d/" TargetMode="External"/><Relationship Id="rId132" Type="http://schemas.openxmlformats.org/officeDocument/2006/relationships/hyperlink" Target="https://vibe-alpha-three.vercel.app/investor/reports/archive-6291b11dbfc8/" TargetMode="External"/><Relationship Id="rId133" Type="http://schemas.openxmlformats.org/officeDocument/2006/relationships/hyperlink" Target="https://vibe-alpha-three.vercel.app/investor/reports/archive-804853417336/" TargetMode="External"/><Relationship Id="rId134" Type="http://schemas.openxmlformats.org/officeDocument/2006/relationships/hyperlink" Target="https://vibe-alpha-three.vercel.app/investor/reports/archive-fa56baed7c08/" TargetMode="External"/><Relationship Id="rId135" Type="http://schemas.openxmlformats.org/officeDocument/2006/relationships/hyperlink" Target="https://vibe-alpha-three.vercel.app/investor/reports/archive-6d477ccae3b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2026-W29 AI Institute 周度投资研究全景</dc:title>
  <dc:subject>AI Institute weekly research report 2026-W29</dc:subject>
  <dc:creator>AI Institute</dc:creator>
  <cp:keywords>AI Institute, weekly research, investment research</cp:keywords>
  <dc:description>generated by python-docx</dc:description>
  <cp:lastModifiedBy/>
  <cp:revision>1</cp:revision>
  <dcterms:created xsi:type="dcterms:W3CDTF">2013-12-23T23:15:00Z</dcterms:created>
  <dcterms:modified xsi:type="dcterms:W3CDTF">2013-12-23T23:15:00Z</dcterms:modified>
  <cp:category/>
</cp:coreProperties>
</file>