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iragino Sans GB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iragino Sans GB"/>
          <w:b w:val="0"/>
          <w:i w:val="0"/>
        </w:rPr>
        <w:t>2026-08-09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iragino Sans GB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2"/>
        </w:rPr>
        <w:t>2026-08-09 共纳入 255 篇中文研究结果，覆盖 0 位活跃分析师和 5 条主要行业链，较 2026-08-08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iragino Sans GB"/>
                <w:b/>
                <w:color w:val="285B9D"/>
                <w:sz w:val="36"/>
              </w:rPr>
              <w:t>255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iragino Sans GB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iragino Sans GB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iragino Sans GB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9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iragino Sans GB" w:ascii="Calibri" w:hAnsi="Calibri"/>
          </w:rPr>
          <w:t>research discussion Session Brief 是今日最高权重结论，核心证据来自 未识别，关联 AI 基础设施。</w:t>
        </w:r>
      </w:hyperlink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变化信号: </w:t>
      </w:r>
      <w:r>
        <w:rPr>
          <w:rFonts w:ascii="Calibri" w:hAnsi="Calibri" w:eastAsia="Hiragino Sans GB"/>
          <w:color w:val="111827"/>
          <w:sz w:val="21"/>
        </w:rPr>
        <w:t>通胀 今日 升温，当日计数 237，前一日计数 205。</w:t>
      </w:r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风险焦点: </w:t>
      </w:r>
      <w:hyperlink r:id="rId12">
        <w:r>
          <w:rPr>
            <w:color w:val="285B9D"/>
            <w:u w:val="single"/>
            <w:rFonts w:eastAsia="Hiragino Sans GB" w:ascii="Calibri" w:hAnsi="Calibri"/>
          </w:rPr>
          <w:t>风险矩阵最需要跟踪的是 AI 基础设施：research discussion Session Brief。</w:t>
        </w:r>
      </w:hyperlink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证据密度: </w:t>
      </w:r>
      <w:hyperlink r:id="rId13">
        <w:r>
          <w:rPr>
            <w:color w:val="285B9D"/>
            <w:u w:val="single"/>
            <w:rFonts w:eastAsia="Hiragino Sans GB" w:ascii="Calibri" w:hAnsi="Calibri"/>
          </w:rPr>
          <w:t>宏观通胀传导 今日 241 条、近七日 2004 条，风险信号 1385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iragino Sans GB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iragino Sans GB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9-web-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9-web-chai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9-web-ris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9-web-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1. research discussion Session Brief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AI 基础设施 · score 58.6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Board ID: 88eb7f72-5e9f-4027-8bb7-5607dedcda9e - Shared Agent Route session: 5010a8b7-9fa0-4940-af26-3139102b7151 - Root topic: AI 算力交付瓶颈：从 GPU 到电力/电网转型 - Current ca...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iragino Sans GB" w:ascii="Calibri" w:hAnsi="Calibri"/>
          </w:rPr>
          <w:t>reports/archive-d7796555327c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2. GOES供给：Cleveland-Cliffs之外的扩产能否打破变压器瓶颈？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工业供给瓶颈 · score 52.8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GOES供给：Cleveland-Cliffs之外的扩产能否打破变压器瓶颈？ 材料行业分析师 工作日期：2026-08-09 立场：support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8">
        <w:r>
          <w:rPr>
            <w:color w:val="285B9D"/>
            <w:u w:val="single"/>
            <w:rFonts w:eastAsia="Hiragino Sans GB" w:ascii="Calibri" w:hAnsi="Calibri"/>
          </w:rPr>
          <w:t>reports/archive-8aa2f6ba2610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3. GOES约束下的变压器交付曲线：哪些已公告AI数据中心MW最可能送电延期，以及如何量化ROIC与估值折价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工业供给瓶颈 · score 47.7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GOES约束下的变压器交付曲线：哪些已公告AI数据中心MW最可能送电延期，以及如何量化ROIC与估值折价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iragino Sans GB" w:ascii="Calibri" w:hAnsi="Calibri"/>
          </w:rPr>
          <w:t>reports/archive-329bb005940f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4. AI 算力交付瓶颈：从 GPU 稀缺到 Time-to-Power，2026-08-09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AI 基础设施 · score 47.6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AI 算力交付瓶颈：从 GPU 稀缺到 Time-to-Power，2026-08-09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iragino Sans GB" w:ascii="Calibri" w:hAnsi="Calibri"/>
          </w:rPr>
          <w:t>reports/archive-8d9a70989126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5. AI数据中心物理瓶颈可投资排序，2026-08-09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AI 基础设施 · score 47.4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截至研究所工作日期2026-08-09，shell date +%Y-%m-%d 返回 2026-08-09 [自测算: shell date]，本报告对研究记录1的结论做压力测试而非推翻：美国电网接入是最深的物理瓶颈，但若同时考察订单能...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iragino Sans GB" w:ascii="Calibri" w:hAnsi="Calibri"/>
          </w:rPr>
          <w:t>reports/archive-b9e428065099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6. prior research notes— 电网设备制造商：产能扩张周期与订单质量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工业供给瓶颈 · score 46.3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prior research notes— 电网设备制造商：产能扩张周期与订单质量 工业制造分析师 工作日期：2026-08-09 立场：支持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iragino Sans GB" w:ascii="Calibri" w:hAnsi="Calibri"/>
          </w:rPr>
          <w:t>reports/archive-e608616ed57d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research discussion Session Brief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AI 基础设施，影响 5 / 概率 4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iragino Sans GB" w:ascii="Calibri" w:hAnsi="Calibri"/>
          </w:rPr>
          <w:t>reports/archive-d7796555327c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AI电力瓶颈第二阶段重估，2026-08-06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电力与电网，影响 5 / 概率 2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iragino Sans GB" w:ascii="Calibri" w:hAnsi="Calibri"/>
          </w:rPr>
          <w:t>reports/archive-959d0a1ef2ce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prior research notes— 燃机、变压器与电站EPC供应链：可交付产能与受益公司排序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工业供给瓶颈，影响 5 / 概率 4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iragino Sans GB" w:ascii="Calibri" w:hAnsi="Calibri"/>
          </w:rPr>
          <w:t>reports/archive-0ca16e22b75f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58.6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GOES供给：Cleveland-Cliffs之外的扩产能否打破变压器瓶颈？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52.8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GOES约束下的变压器交付曲线：哪些已公告AI数据中心MW最可能送电延期，以及如何量化ROIC与估值折价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47.7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AI 算力交付瓶颈：从 GPU 稀缺到 Time-to-Power，2026-08-09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47.6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AI数据中心物理瓶颈可投资排序，2026-08-09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47.4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prior research notes— 电网设备制造商：产能扩张周期与订单质量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46.3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半导体材料设备压力桶的日度迁移监控与组合预警阈值落地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44.2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把100MW电力成本承销模型转化为A股IDC/算力运营商估值折价与组合权重（工作日期2026-08-09）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依赖电网并网型AI基础设施SPV/项目债务信用压力测试 — 工作日2026-08-09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工业制造周报研究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prior research notes— 谁真正把 AI 负荷变成利润：rate base、接入费与电力设备的利润池归属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研究记录 — 人民币汇率阈值与中国政策对冲空间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2026-08-09 美联储9月维持利率但保留鹰派指引下的跨资产配置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前序研究片 — 9月美联储加息压力测试下的人民币与央行政策空间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将西部枢纽电力成本转化为100MW承销模型（工作日期2026-08-09）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AI物理瓶颈篮子的因子暴露与拥挤度阈值回测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研究记录 — 汇率防御升级对在岸利率的被动收紧约束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3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iragino Sans GB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iragino Sans GB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iragino Sans GB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iragino Sans GB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iragino Sans GB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iragino Sans GB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d7796555327c" TargetMode="External"/><Relationship Id="rId13" Type="http://schemas.openxmlformats.org/officeDocument/2006/relationships/hyperlink" Target="reports/archive-ee4245026e77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yperlink" Target="reports/archive-8aa2f6ba2610" TargetMode="External"/><Relationship Id="rId19" Type="http://schemas.openxmlformats.org/officeDocument/2006/relationships/hyperlink" Target="reports/archive-329bb005940f" TargetMode="External"/><Relationship Id="rId20" Type="http://schemas.openxmlformats.org/officeDocument/2006/relationships/hyperlink" Target="reports/archive-8d9a70989126" TargetMode="External"/><Relationship Id="rId21" Type="http://schemas.openxmlformats.org/officeDocument/2006/relationships/hyperlink" Target="reports/archive-b9e428065099" TargetMode="External"/><Relationship Id="rId22" Type="http://schemas.openxmlformats.org/officeDocument/2006/relationships/hyperlink" Target="reports/archive-e608616ed57d" TargetMode="External"/><Relationship Id="rId23" Type="http://schemas.openxmlformats.org/officeDocument/2006/relationships/hyperlink" Target="reports/archive-959d0a1ef2ce" TargetMode="External"/><Relationship Id="rId24" Type="http://schemas.openxmlformats.org/officeDocument/2006/relationships/hyperlink" Target="reports/archive-0ca16e22b75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2026-08-09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