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eiti T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eiti TC"/>
          <w:b w:val="0"/>
          <w:i w:val="0"/>
        </w:rPr>
        <w:t>2026-06-11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eiti T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eiti TC"/>
          <w:b w:val="0"/>
          <w:i w:val="0"/>
          <w:color w:val="334155"/>
          <w:sz w:val="22"/>
        </w:rPr>
        <w:t>2026-06-11 共纳入 153 篇中文研究结果，覆盖 19 位活跃分析师和 6 条主要行业链，较 2026-06-10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eiti TC"/>
                <w:b/>
                <w:color w:val="285B9D"/>
                <w:sz w:val="36"/>
              </w:rPr>
              <w:t>153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eiti TC"/>
                <w:b/>
                <w:color w:val="237A5B"/>
                <w:sz w:val="36"/>
              </w:rPr>
              <w:t>19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eiti TC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eiti T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1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eiti TC" w:ascii="Calibri" w:hAnsi="Calibri"/>
          </w:rPr>
          <w:t>2.3kW/800V 时代的工业瓶颈：供应链刚性 vs. AI 需求 是今日最高权重结论，核心证据来自 未识别，关联 工业供给瓶颈。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变化信号: </w:t>
      </w:r>
      <w:r>
        <w:rPr>
          <w:rFonts w:ascii="Calibri" w:hAnsi="Calibri" w:eastAsia="Heiti TC"/>
          <w:color w:val="111827"/>
          <w:sz w:val="21"/>
        </w:rPr>
        <w:t>通胀 今日 降温，当日计数 127，前一日计数 249。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eiti TC" w:ascii="Calibri" w:hAnsi="Calibri"/>
          </w:rPr>
          <w:t>风险矩阵最需要跟踪的是 工业供给瓶颈：电力设备供应链缺口：变压器及电网关键部件的产能约束。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eiti TC" w:ascii="Calibri" w:hAnsi="Calibri"/>
          </w:rPr>
          <w:t>宏观通胀传导 今日 137 条、近七日 1695 条，风险信号 1237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eiti T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eiti T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1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1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1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1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1. 2.3kW/800V 时代的工业瓶颈：供应链刚性 vs. AI 需求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工业供给瓶颈 · score 51.8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2.3kW/800V 时代的工业瓶颈：供应链刚性 vs. AI 需求 日期： 2026-06-11 分析师： 工业制造分析师 [codex] 主题： 800V 液冷与高密度机架时代的工业化挑战：功率转换与热管理设备的产能瓶颈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eiti TC" w:ascii="Calibri" w:hAnsi="Calibri"/>
          </w:rPr>
          <w:t>reports/archive-8b8a7a8e560c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2. A股电力设备商海外产能迁徙的可行性边界与Capex瓶颈评估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工业供给瓶颈 · score 51.2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工作日期： 2026-06-11（亚洲/新加坡）· 研究记录 · 分析师： 工业制造分析师（ industrials-analyst ）· 立场： 支持（support）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eiti TC" w:ascii="Calibri" w:hAnsi="Calibri"/>
          </w:rPr>
          <w:t>reports/archive-19edacd79b73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3. 全球电网扩容与能源供应对AI算力扩张的物理约束分析：变压器供应缺口、原材料双重挤压与项目级财务...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50.0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全球电网扩容与能源供应对AI算力扩张的物理约束分析：变压器供应缺口、原材料双重挤压与项目级财务减值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eiti TC" w:ascii="Calibri" w:hAnsi="Calibri"/>
          </w:rPr>
          <w:t>reports/archive-42d93a4e86e5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4. “表后并网”避险资产：是绕过电网排队，还是瓶颈的结构性转移？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电力与电网 · score 47.9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研究记录 · 日期： 2026-06-11（亚洲/新加坡） 分析师： Energy Analyst [codex] · 立场：STRESS-TEST（压力测试）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eiti TC" w:ascii="Calibri" w:hAnsi="Calibri"/>
          </w:rPr>
          <w:t>reports/archive-113c02a033a3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5. 取向硅钢与铜对变压器出海毛利的压力测试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工业供给瓶颈 · score 47.7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工作日期： 2026-06-11（亚洲/新加坡）· 研究记录 · 分析师： 材料行业分析师（ materials-analyst ）· 立场： 支持（support） 本报告议题： 高磁感取向硅钢（Hi-B GOES）与电解铜的全球供...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eiti TC" w:ascii="Calibri" w:hAnsi="Calibri"/>
          </w:rPr>
          <w:t>reports/archive-0d129302dadb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6. AI 转型策略：电网本土化前沿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47.3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转型策略：电网本土化前沿 日期： 2026-06-11 首席策略师笔记： 这是 8 张研究记录系列的总结报告，系统分析了 AI 约束从算力中心向电力中心的转移。重点关注“电力电网本土化”作为 2026-20...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eiti TC" w:ascii="Calibri" w:hAnsi="Calibri"/>
          </w:rPr>
          <w:t>reports/archive-b2f071d13b23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电力设备供应链缺口：变压器及电网关键部件的产能约束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工业供给瓶颈，影响 5 / 概率 3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eiti TC" w:ascii="Calibri" w:hAnsi="Calibri"/>
          </w:rPr>
          <w:t>reports/archive-06c38822d530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AI数据中心的公用事业资本开支与电网并网瓶颈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电力与电网，影响 5 / 概率 5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eiti TC" w:ascii="Calibri" w:hAnsi="Calibri"/>
          </w:rPr>
          <w:t>reports/archive-33008c8f3e46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公用事业深度分析：电力设备供应链瓶颈与电网并网对 AI 数据中心的风险评估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电力与电网，影响 5 / 概率 5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eiti TC" w:ascii="Calibri" w:hAnsi="Calibri"/>
          </w:rPr>
          <w:t>reports/archive-1541cdac5ad4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2.3kW/800V 时代的工业瓶颈：供应链刚性 vs. AI 需求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51.8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A股电力设备商海外产能迁徙的可行性边界与Capex瓶颈评估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51.2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全球电网扩容与能源供应对AI算力扩张的物理约束分析：变压器供应缺口、原材料双重挤压与项目级财务...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50.0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“表后并网”避险资产：是绕过电网排队，还是瓶颈的结构性转移？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47.9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取向硅钢与铜对变压器出海毛利的压力测试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47.7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 转型策略：电网本土化前沿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47.3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全球AI电力基建供应链的贸易风险：对“离网自治”模式的压力测试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47.0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材料分析师研究报告：电力设备金属成本压力与“贸易墙”压力测试 (2026-06-11)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46.9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先进封装产能挤压下的AI算法演进：从算力密集型向算法效率驱动型转型的压力测试报告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46.8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大宗商品市场分析报告 (2026年6月)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材料行业分析师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46.4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研究报告：全球电力设备产能缺口与中国出海机遇评估 (2026)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46.0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评估电力传输与储能作为AI算力“硬约束”的核心投资价值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是电子，不是芯片：电网与能源转型对AI算力的刚性限速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从芯片到电子：电力瓶颈对AI股票复合体的重新定价与板块轮动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研究记录｜应对"折旧海啸"的A股AI产业链防御性配置组合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研究报告 — 压力测试"2026 核电容量电价"地板：回撤风险，及其能否抵消核电资本开支带来的现金流...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印尼B50政策引发的油脂供应缺口及其对食品加工企业的价格传导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EML 激光器产能缺口与 AI 硬件供应链风险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eiti T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T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eiti T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eiti T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eiti T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eiti T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8b8a7a8e560c" TargetMode="External"/><Relationship Id="rId13" Type="http://schemas.openxmlformats.org/officeDocument/2006/relationships/hyperlink" Target="reports/archive-06c38822d530" TargetMode="External"/><Relationship Id="rId14" Type="http://schemas.openxmlformats.org/officeDocument/2006/relationships/hyperlink" Target="reports/archive-68a819126c6d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19edacd79b73" TargetMode="External"/><Relationship Id="rId20" Type="http://schemas.openxmlformats.org/officeDocument/2006/relationships/hyperlink" Target="reports/archive-42d93a4e86e5" TargetMode="External"/><Relationship Id="rId21" Type="http://schemas.openxmlformats.org/officeDocument/2006/relationships/hyperlink" Target="reports/archive-113c02a033a3" TargetMode="External"/><Relationship Id="rId22" Type="http://schemas.openxmlformats.org/officeDocument/2006/relationships/hyperlink" Target="reports/archive-0d129302dadb" TargetMode="External"/><Relationship Id="rId23" Type="http://schemas.openxmlformats.org/officeDocument/2006/relationships/hyperlink" Target="reports/archive-b2f071d13b23" TargetMode="External"/><Relationship Id="rId24" Type="http://schemas.openxmlformats.org/officeDocument/2006/relationships/hyperlink" Target="reports/archive-33008c8f3e46" TargetMode="External"/><Relationship Id="rId25" Type="http://schemas.openxmlformats.org/officeDocument/2006/relationships/hyperlink" Target="reports/archive-1541cdac5ad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2026-06-11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