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auto"/>
      </w:pPr>
      <w:r>
        <w:rPr>
          <w:rFonts w:ascii="Calibri" w:hAnsi="Calibri" w:eastAsia="Heiti TC"/>
          <w:b/>
          <w:i w:val="0"/>
          <w:color w:val="285B9D"/>
          <w:sz w:val="20"/>
        </w:rPr>
        <w:t>AI Institute</w:t>
      </w:r>
    </w:p>
    <w:p>
      <w:pPr>
        <w:pStyle w:val="Title"/>
        <w:spacing w:before="0" w:after="80" w:line="264" w:lineRule="auto"/>
      </w:pPr>
      <w:r>
        <w:rPr>
          <w:rFonts w:ascii="Calibri" w:hAnsi="Calibri" w:eastAsia="Heiti TC"/>
          <w:b w:val="0"/>
          <w:i w:val="0"/>
        </w:rPr>
        <w:t>每日投资研究简报</w:t>
      </w:r>
    </w:p>
    <w:p>
      <w:pPr>
        <w:pStyle w:val="Subtitle"/>
        <w:spacing w:before="0" w:after="240" w:line="264" w:lineRule="auto"/>
      </w:pPr>
      <w:r>
        <w:rPr>
          <w:rFonts w:ascii="Calibri" w:hAnsi="Calibri" w:eastAsia="Heiti TC"/>
          <w:b w:val="0"/>
          <w:i w:val="0"/>
        </w:rPr>
        <w:t>2026-05-20 · webpage screenshot DOCX edition</w:t>
      </w:r>
    </w:p>
    <w:p>
      <w:pPr>
        <w:spacing w:before="0" w:after="160" w:line="264" w:lineRule="auto"/>
      </w:pPr>
      <w:r>
        <w:rPr>
          <w:rFonts w:ascii="Calibri" w:hAnsi="Calibri" w:eastAsia="Heiti TC"/>
          <w:b/>
          <w:i w:val="0"/>
          <w:color w:val="0B2545"/>
          <w:sz w:val="34"/>
        </w:rPr>
        <w:t>宏观通胀传导仍是今日主线，AI 基础设施提供第二层验证。</w:t>
      </w:r>
    </w:p>
    <w:p>
      <w:pPr>
        <w:spacing w:before="0" w:after="240" w:line="264" w:lineRule="auto"/>
      </w:pPr>
      <w:r>
        <w:rPr>
          <w:rFonts w:ascii="Calibri" w:hAnsi="Calibri" w:eastAsia="Heiti TC"/>
          <w:b w:val="0"/>
          <w:i w:val="0"/>
          <w:color w:val="334155"/>
          <w:sz w:val="22"/>
        </w:rPr>
        <w:t>2026-05-20 共纳入 107 篇中文研究结果，覆盖 28 位活跃分析师和 6 条主要行业链，较 2026-05-19 的主题变化可在右侧动量表中核对。简报优先呈现可被报告链接追溯的结论，而不是孤立摘要。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fill="F8FAFC"/>
          </w:tcPr>
          <w:p>
            <w:pPr>
              <w:spacing w:after="40"/>
            </w:pPr>
            <w:r>
              <w:rPr>
                <w:rFonts w:ascii="Calibri" w:hAnsi="Calibri" w:eastAsia="Heiti TC"/>
                <w:b/>
                <w:color w:val="667085"/>
                <w:sz w:val="17"/>
              </w:rPr>
              <w:t>今日报告</w:t>
              <w:br/>
            </w:r>
            <w:r>
              <w:rPr>
                <w:rFonts w:ascii="Calibri" w:hAnsi="Calibri" w:eastAsia="Heiti TC"/>
                <w:b/>
                <w:color w:val="285B9D"/>
                <w:sz w:val="36"/>
              </w:rPr>
              <w:t>107</w:t>
            </w:r>
          </w:p>
        </w:tc>
        <w:tc>
          <w:tcPr>
            <w:tcW w:type="dxa" w:w="2340"/>
            <w:vAlign w:val="center"/>
            <w:shd w:fill="F8FAFC"/>
          </w:tcPr>
          <w:p>
            <w:pPr>
              <w:spacing w:after="40"/>
            </w:pPr>
            <w:r>
              <w:rPr>
                <w:rFonts w:ascii="Calibri" w:hAnsi="Calibri" w:eastAsia="Heiti TC"/>
                <w:b/>
                <w:color w:val="667085"/>
                <w:sz w:val="17"/>
              </w:rPr>
              <w:t>活跃分析师</w:t>
              <w:br/>
            </w:r>
            <w:r>
              <w:rPr>
                <w:rFonts w:ascii="Calibri" w:hAnsi="Calibri" w:eastAsia="Heiti TC"/>
                <w:b/>
                <w:color w:val="237A5B"/>
                <w:sz w:val="36"/>
              </w:rPr>
              <w:t>28</w:t>
            </w:r>
          </w:p>
        </w:tc>
        <w:tc>
          <w:tcPr>
            <w:tcW w:type="dxa" w:w="2340"/>
            <w:vAlign w:val="center"/>
            <w:shd w:fill="F8FAFC"/>
          </w:tcPr>
          <w:p>
            <w:pPr>
              <w:spacing w:after="40"/>
            </w:pPr>
            <w:r>
              <w:rPr>
                <w:rFonts w:ascii="Calibri" w:hAnsi="Calibri" w:eastAsia="Heiti TC"/>
                <w:b/>
                <w:color w:val="667085"/>
                <w:sz w:val="17"/>
              </w:rPr>
              <w:t>活跃链条</w:t>
              <w:br/>
            </w:r>
            <w:r>
              <w:rPr>
                <w:rFonts w:ascii="Calibri" w:hAnsi="Calibri" w:eastAsia="Heiti TC"/>
                <w:b/>
                <w:color w:val="A8731B"/>
                <w:sz w:val="36"/>
              </w:rPr>
              <w:t>6</w:t>
            </w:r>
          </w:p>
        </w:tc>
        <w:tc>
          <w:tcPr>
            <w:tcW w:type="dxa" w:w="2340"/>
            <w:vAlign w:val="center"/>
            <w:shd w:fill="F8FAFC"/>
          </w:tcPr>
          <w:p>
            <w:pPr>
              <w:spacing w:after="40"/>
            </w:pPr>
            <w:r>
              <w:rPr>
                <w:rFonts w:ascii="Calibri" w:hAnsi="Calibri" w:eastAsia="Heiti TC"/>
                <w:b/>
                <w:color w:val="667085"/>
                <w:sz w:val="17"/>
              </w:rPr>
              <w:t>风险信号</w:t>
              <w:br/>
            </w:r>
            <w:r>
              <w:rPr>
                <w:rFonts w:ascii="Calibri" w:hAnsi="Calibri" w:eastAsia="Heiti TC"/>
                <w:b/>
                <w:color w:val="B43D49"/>
                <w:sz w:val="36"/>
              </w:rPr>
              <w:t>16</w:t>
            </w:r>
          </w:p>
        </w:tc>
      </w:tr>
    </w:tbl>
    <w:p>
      <w:pPr>
        <w:spacing w:before="0" w:after="160" w:line="264" w:lineRule="auto"/>
      </w:pP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70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brief-2026-05-20-web-summ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7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00" w:line="264" w:lineRule="auto"/>
        <w:jc w:val="center"/>
      </w:pPr>
      <w:r>
        <w:rPr>
          <w:rFonts w:ascii="Calibri" w:hAnsi="Calibri" w:eastAsia="Heiti TC"/>
          <w:b w:val="0"/>
          <w:i/>
          <w:color w:val="667085"/>
          <w:sz w:val="17"/>
        </w:rPr>
        <w:t>Figure 1. Webpage snapshot of the daily synthesis and key operating metrics.</w:t>
      </w:r>
    </w:p>
    <w:p>
      <w:pPr>
        <w:pStyle w:val="Heading1"/>
      </w:pPr>
      <w:r>
        <w:t>1. 综合研判</w:t>
      </w:r>
    </w:p>
    <w:p>
      <w:pPr>
        <w:spacing w:after="140"/>
        <w:ind w:left="259" w:hanging="259"/>
      </w:pPr>
      <w:r>
        <w:rPr>
          <w:rFonts w:ascii="Calibri" w:hAnsi="Calibri" w:eastAsia="Heiti TC"/>
          <w:b/>
          <w:color w:val="285B9D"/>
          <w:sz w:val="21"/>
        </w:rPr>
        <w:t xml:space="preserve">主线判断: </w:t>
      </w:r>
      <w:hyperlink r:id="rId12">
        <w:r>
          <w:rPr>
            <w:color w:val="285B9D"/>
            <w:u w:val="single"/>
            <w:rFonts w:eastAsia="Heiti TC" w:ascii="Calibri" w:hAnsi="Calibri"/>
          </w:rPr>
          <w:t>堡垒轴成本溢价对 AI 芯片需求与半导体毛利的冲击 是今日最高权重结论，核心证据来自 TMT行业分析师，关联 AI 基础设施。</w:t>
        </w:r>
      </w:hyperlink>
    </w:p>
    <w:p>
      <w:pPr>
        <w:spacing w:after="140"/>
        <w:ind w:left="259" w:hanging="259"/>
      </w:pPr>
      <w:r>
        <w:rPr>
          <w:rFonts w:ascii="Calibri" w:hAnsi="Calibri" w:eastAsia="Heiti TC"/>
          <w:b/>
          <w:color w:val="285B9D"/>
          <w:sz w:val="21"/>
        </w:rPr>
        <w:t xml:space="preserve">变化信号: </w:t>
      </w:r>
      <w:r>
        <w:rPr>
          <w:rFonts w:ascii="Calibri" w:hAnsi="Calibri" w:eastAsia="Heiti TC"/>
          <w:color w:val="111827"/>
          <w:sz w:val="21"/>
        </w:rPr>
        <w:t>AI 今日 降温，当日计数 95，前一日计数 196。</w:t>
      </w:r>
    </w:p>
    <w:p>
      <w:pPr>
        <w:spacing w:after="140"/>
        <w:ind w:left="259" w:hanging="259"/>
      </w:pPr>
      <w:r>
        <w:rPr>
          <w:rFonts w:ascii="Calibri" w:hAnsi="Calibri" w:eastAsia="Heiti TC"/>
          <w:b/>
          <w:color w:val="285B9D"/>
          <w:sz w:val="21"/>
        </w:rPr>
        <w:t xml:space="preserve">风险焦点: </w:t>
      </w:r>
      <w:hyperlink r:id="rId13">
        <w:r>
          <w:rPr>
            <w:color w:val="285B9D"/>
            <w:u w:val="single"/>
            <w:rFonts w:eastAsia="Heiti TC" w:ascii="Calibri" w:hAnsi="Calibri"/>
          </w:rPr>
          <w:t>风险矩阵最需要跟踪的是 工业供给瓶颈：工业制造分析师报告 - 2026-05-19。</w:t>
        </w:r>
      </w:hyperlink>
    </w:p>
    <w:p>
      <w:pPr>
        <w:spacing w:after="140"/>
        <w:ind w:left="259" w:hanging="259"/>
      </w:pPr>
      <w:r>
        <w:rPr>
          <w:rFonts w:ascii="Calibri" w:hAnsi="Calibri" w:eastAsia="Heiti TC"/>
          <w:b/>
          <w:color w:val="285B9D"/>
          <w:sz w:val="21"/>
        </w:rPr>
        <w:t xml:space="preserve">证据密度: </w:t>
      </w:r>
      <w:hyperlink r:id="rId14">
        <w:r>
          <w:rPr>
            <w:color w:val="285B9D"/>
            <w:u w:val="single"/>
            <w:rFonts w:eastAsia="Heiti TC" w:ascii="Calibri" w:hAnsi="Calibri"/>
          </w:rPr>
          <w:t>宏观通胀传导 今日 96 条、近七日 1023 条，风险信号 762 条。</w:t>
        </w:r>
      </w:hyperlink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FF7E6"/>
          </w:tcPr>
          <w:p>
            <w:r>
              <w:rPr>
                <w:rFonts w:ascii="Calibri" w:hAnsi="Calibri" w:eastAsia="Heiti TC"/>
                <w:b/>
                <w:color w:val="7A5A00"/>
                <w:sz w:val="21"/>
              </w:rPr>
              <w:t xml:space="preserve">投资解读: </w:t>
            </w:r>
            <w:r>
              <w:rPr>
                <w:rFonts w:ascii="Calibri" w:hAnsi="Calibri" w:eastAsia="Heiti TC"/>
                <w:color w:val="7C2D12"/>
                <w:sz w:val="21"/>
              </w:rPr>
              <w:t>投资含义上，本日简报更适合作为主题和风险筛选器：先看行业链雷达确认资金关注方向，再用风险矩阵排除证据不足或约束过强的交易表达。</w:t>
            </w:r>
          </w:p>
        </w:tc>
      </w:tr>
    </w:tbl>
    <w:p>
      <w:pPr>
        <w:spacing w:before="0" w:after="120" w:line="264" w:lineRule="auto"/>
      </w:pPr>
    </w:p>
    <w:p>
      <w:pPr>
        <w:pStyle w:val="Heading1"/>
      </w:pPr>
      <w:r>
        <w:t>2. 可视化仪表板</w:t>
      </w: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70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brief-2026-05-20-web-tren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7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00" w:line="264" w:lineRule="auto"/>
        <w:jc w:val="center"/>
      </w:pPr>
      <w:r>
        <w:rPr>
          <w:rFonts w:ascii="Calibri" w:hAnsi="Calibri" w:eastAsia="Heiti TC"/>
          <w:b w:val="0"/>
          <w:i/>
          <w:color w:val="667085"/>
          <w:sz w:val="17"/>
        </w:rPr>
        <w:t>Figure 2. Webpage snapshot of topic momentum and daily change signals.</w:t>
      </w: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709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brief-2026-05-20-web-chai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7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00" w:line="264" w:lineRule="auto"/>
        <w:jc w:val="center"/>
      </w:pPr>
      <w:r>
        <w:rPr>
          <w:rFonts w:ascii="Calibri" w:hAnsi="Calibri" w:eastAsia="Heiti TC"/>
          <w:b w:val="0"/>
          <w:i/>
          <w:color w:val="667085"/>
          <w:sz w:val="17"/>
        </w:rPr>
        <w:t>Figure 3. Webpage snapshot of industry-chain heat and evidence links.</w:t>
      </w:r>
    </w:p>
    <w:p>
      <w:r>
        <w:br w:type="page"/>
      </w: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709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brief-2026-05-20-web-risk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7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00" w:line="264" w:lineRule="auto"/>
        <w:jc w:val="center"/>
      </w:pPr>
      <w:r>
        <w:rPr>
          <w:rFonts w:ascii="Calibri" w:hAnsi="Calibri" w:eastAsia="Heiti TC"/>
          <w:b w:val="0"/>
          <w:i/>
          <w:color w:val="667085"/>
          <w:sz w:val="17"/>
        </w:rPr>
        <w:t>Figure 4. Webpage snapshot of the risk matrix and pressure-test items.</w:t>
      </w:r>
    </w:p>
    <w:p>
      <w:r>
        <w:br w:type="page"/>
      </w: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709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brief-2026-05-20-web-heatma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7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00" w:line="264" w:lineRule="auto"/>
        <w:jc w:val="center"/>
      </w:pPr>
      <w:r>
        <w:rPr>
          <w:rFonts w:ascii="Calibri" w:hAnsi="Calibri" w:eastAsia="Heiti TC"/>
          <w:b w:val="0"/>
          <w:i/>
          <w:color w:val="667085"/>
          <w:sz w:val="17"/>
        </w:rPr>
        <w:t>Figure 5. Webpage snapshot of analyst activity and ranked conclusions.</w:t>
      </w:r>
    </w:p>
    <w:p>
      <w:pPr>
        <w:pStyle w:val="Heading1"/>
      </w:pPr>
      <w:r>
        <w:t>3. 今日核心结论</w:t>
      </w:r>
    </w:p>
    <w:p>
      <w:pPr>
        <w:spacing w:before="0" w:after="40" w:line="264" w:lineRule="auto"/>
      </w:pPr>
      <w:r>
        <w:rPr>
          <w:rFonts w:ascii="Calibri" w:hAnsi="Calibri" w:eastAsia="Heiti TC"/>
          <w:b/>
          <w:i w:val="0"/>
          <w:color w:val="0B2545"/>
          <w:sz w:val="23"/>
        </w:rPr>
        <w:t>1. 堡垒轴成本溢价对 AI 芯片需求与半导体毛利的冲击</w:t>
      </w:r>
    </w:p>
    <w:p>
      <w:pPr>
        <w:spacing w:before="0" w:after="4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>TMT行业分析师 · AI 基础设施 · score 50.2</w:t>
      </w:r>
    </w:p>
    <w:p>
      <w:pPr>
        <w:spacing w:before="0" w:after="100" w:line="264" w:lineRule="auto"/>
      </w:pPr>
      <w:r>
        <w:rPr>
          <w:rFonts w:ascii="Calibri" w:hAnsi="Calibri" w:eastAsia="Heiti TC"/>
          <w:b w:val="0"/>
          <w:i w:val="0"/>
          <w:color w:val="334155"/>
          <w:sz w:val="20"/>
        </w:rPr>
        <w:t>分析师：TMT 行业分析师 - 工作日期（亚洲/新加坡）：2026-05-20 - 立场： stress-test （对 prior research notes"算力密度可吸收安全溢价"叙事的压力测试） - 当前问题：随着选址逻辑从"电力...</w:t>
      </w:r>
    </w:p>
    <w:p>
      <w:pPr>
        <w:spacing w:before="0" w:after="16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 xml:space="preserve">Report: </w:t>
      </w:r>
      <w:hyperlink r:id="rId12">
        <w:r>
          <w:rPr>
            <w:color w:val="285B9D"/>
            <w:u w:val="single"/>
            <w:rFonts w:eastAsia="Heiti TC" w:ascii="Calibri" w:hAnsi="Calibri"/>
          </w:rPr>
          <w:t>reports/archive-4a346f9703d9</w:t>
        </w:r>
      </w:hyperlink>
    </w:p>
    <w:p>
      <w:pPr>
        <w:spacing w:before="0" w:after="40" w:line="264" w:lineRule="auto"/>
      </w:pPr>
      <w:r>
        <w:rPr>
          <w:rFonts w:ascii="Calibri" w:hAnsi="Calibri" w:eastAsia="Heiti TC"/>
          <w:b/>
          <w:i w:val="0"/>
          <w:color w:val="0B2545"/>
          <w:sz w:val="23"/>
        </w:rPr>
        <w:t>2. 2026-05-20 能源研究片：AI算力需求与能源基建的结构性机会</w:t>
      </w:r>
    </w:p>
    <w:p>
      <w:pPr>
        <w:spacing w:before="0" w:after="4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>能源行业分析师 · AI 基础设施 · score 49.4</w:t>
      </w:r>
    </w:p>
    <w:p>
      <w:pPr>
        <w:spacing w:before="0" w:after="100" w:line="264" w:lineRule="auto"/>
      </w:pPr>
      <w:r>
        <w:rPr>
          <w:rFonts w:ascii="Calibri" w:hAnsi="Calibri" w:eastAsia="Heiti TC"/>
          <w:b w:val="0"/>
          <w:i w:val="0"/>
          <w:color w:val="334155"/>
          <w:sz w:val="20"/>
        </w:rPr>
        <w:t>截至2026-05-20，我支持前序判断，但需要加上能源行业限定：AI硬件拥挤交易降杠杆，并不等于AI算力需求被证伪；它更像是把估值锚从“更多GPU”转向“可交付、已锁定、可靠的兆瓦”。真正稀缺的...</w:t>
      </w:r>
    </w:p>
    <w:p>
      <w:pPr>
        <w:spacing w:before="0" w:after="16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 xml:space="preserve">Report: </w:t>
      </w:r>
      <w:hyperlink r:id="rId19">
        <w:r>
          <w:rPr>
            <w:color w:val="285B9D"/>
            <w:u w:val="single"/>
            <w:rFonts w:eastAsia="Heiti TC" w:ascii="Calibri" w:hAnsi="Calibri"/>
          </w:rPr>
          <w:t>reports/archive-7ecbbc82b4c2</w:t>
        </w:r>
      </w:hyperlink>
    </w:p>
    <w:p>
      <w:pPr>
        <w:spacing w:before="0" w:after="40" w:line="264" w:lineRule="auto"/>
      </w:pPr>
      <w:r>
        <w:rPr>
          <w:rFonts w:ascii="Calibri" w:hAnsi="Calibri" w:eastAsia="Heiti TC"/>
          <w:b/>
          <w:i w:val="0"/>
          <w:color w:val="0B2545"/>
          <w:sz w:val="23"/>
        </w:rPr>
        <w:t>3. 2026-05-20 - 工业制造压力测试：电网设备供应能否支撑AI需求转向电力侧？</w:t>
      </w:r>
    </w:p>
    <w:p>
      <w:pPr>
        <w:spacing w:before="0" w:after="4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>工业制造分析师 · 电力与电网 · score 49.3</w:t>
      </w:r>
    </w:p>
    <w:p>
      <w:pPr>
        <w:spacing w:before="0" w:after="100" w:line="264" w:lineRule="auto"/>
      </w:pPr>
      <w:r>
        <w:rPr>
          <w:rFonts w:ascii="Calibri" w:hAnsi="Calibri" w:eastAsia="Heiti TC"/>
          <w:b w:val="0"/>
          <w:i w:val="0"/>
          <w:color w:val="334155"/>
          <w:sz w:val="20"/>
        </w:rPr>
        <w:t>2026-05-20 - 工业制造压力测试：电网设备供应能否支撑AI需求转向电力侧？</w:t>
      </w:r>
    </w:p>
    <w:p>
      <w:pPr>
        <w:spacing w:before="0" w:after="16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 xml:space="preserve">Report: </w:t>
      </w:r>
      <w:hyperlink r:id="rId20">
        <w:r>
          <w:rPr>
            <w:color w:val="285B9D"/>
            <w:u w:val="single"/>
            <w:rFonts w:eastAsia="Heiti TC" w:ascii="Calibri" w:hAnsi="Calibri"/>
          </w:rPr>
          <w:t>reports/archive-60904512e3a0</w:t>
        </w:r>
      </w:hyperlink>
    </w:p>
    <w:p>
      <w:pPr>
        <w:spacing w:before="0" w:after="40" w:line="264" w:lineRule="auto"/>
      </w:pPr>
      <w:r>
        <w:rPr>
          <w:rFonts w:ascii="Calibri" w:hAnsi="Calibri" w:eastAsia="Heiti TC"/>
          <w:b/>
          <w:i w:val="0"/>
          <w:color w:val="0B2545"/>
          <w:sz w:val="23"/>
        </w:rPr>
        <w:t>4. AI 电力基础设施 2026–2027 铜需求增量测算</w:t>
      </w:r>
    </w:p>
    <w:p>
      <w:pPr>
        <w:spacing w:before="0" w:after="4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>工业制造分析师 · 宏观通胀传导 · score 49.0</w:t>
      </w:r>
    </w:p>
    <w:p>
      <w:pPr>
        <w:spacing w:before="0" w:after="100" w:line="264" w:lineRule="auto"/>
      </w:pPr>
      <w:r>
        <w:rPr>
          <w:rFonts w:ascii="Calibri" w:hAnsi="Calibri" w:eastAsia="Heiti TC"/>
          <w:b w:val="0"/>
          <w:i w:val="0"/>
          <w:color w:val="334155"/>
          <w:sz w:val="20"/>
        </w:rPr>
        <w:t>接收方：材料行业分析师 / 大宗商品价格追踪线（run 1a843cfa-4745-4334-bee6-8453fd87c191 ） 作者：工业制造分析师（advanced manufacturing / defense / machinery / aerospace） 截稿日：20...</w:t>
      </w:r>
    </w:p>
    <w:p>
      <w:pPr>
        <w:spacing w:before="0" w:after="16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 xml:space="preserve">Report: </w:t>
      </w:r>
      <w:hyperlink r:id="rId21">
        <w:r>
          <w:rPr>
            <w:color w:val="285B9D"/>
            <w:u w:val="single"/>
            <w:rFonts w:eastAsia="Heiti TC" w:ascii="Calibri" w:hAnsi="Calibri"/>
          </w:rPr>
          <w:t>reports/archive-adf450bd8e1b</w:t>
        </w:r>
      </w:hyperlink>
    </w:p>
    <w:p>
      <w:pPr>
        <w:spacing w:before="0" w:after="40" w:line="264" w:lineRule="auto"/>
      </w:pPr>
      <w:r>
        <w:rPr>
          <w:rFonts w:ascii="Calibri" w:hAnsi="Calibri" w:eastAsia="Heiti TC"/>
          <w:b/>
          <w:i w:val="0"/>
          <w:color w:val="0B2545"/>
          <w:sz w:val="23"/>
        </w:rPr>
        <w:t>5. 材料端压力测试：高频PCB与AiP上游韧性评估（2026-05-20）</w:t>
      </w:r>
    </w:p>
    <w:p>
      <w:pPr>
        <w:spacing w:before="0" w:after="4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>材料行业分析师 · 工业供给瓶颈 · score 48.5</w:t>
      </w:r>
    </w:p>
    <w:p>
      <w:pPr>
        <w:spacing w:before="0" w:after="100" w:line="264" w:lineRule="auto"/>
      </w:pPr>
      <w:r>
        <w:rPr>
          <w:rFonts w:ascii="Calibri" w:hAnsi="Calibri" w:eastAsia="Heiti TC"/>
          <w:b w:val="0"/>
          <w:i w:val="0"/>
          <w:color w:val="334155"/>
          <w:sz w:val="20"/>
        </w:rPr>
        <w:t>截至2026-05-20，本报告片对前序研究的结论做压力测试而非否定：2026年高频PCB与AiP相关制造确实会成为瓶颈，但瓶颈不只是“PCB产能”。真正的约束在已认证材料栈：低损耗树脂体系、HVLP/RTF铜...</w:t>
      </w:r>
    </w:p>
    <w:p>
      <w:pPr>
        <w:spacing w:before="0" w:after="16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 xml:space="preserve">Report: </w:t>
      </w:r>
      <w:hyperlink r:id="rId22">
        <w:r>
          <w:rPr>
            <w:color w:val="285B9D"/>
            <w:u w:val="single"/>
            <w:rFonts w:eastAsia="Heiti TC" w:ascii="Calibri" w:hAnsi="Calibri"/>
          </w:rPr>
          <w:t>reports/archive-1fa31bbdea46</w:t>
        </w:r>
      </w:hyperlink>
    </w:p>
    <w:p>
      <w:pPr>
        <w:spacing w:before="0" w:after="40" w:line="264" w:lineRule="auto"/>
      </w:pPr>
      <w:r>
        <w:rPr>
          <w:rFonts w:ascii="Calibri" w:hAnsi="Calibri" w:eastAsia="Heiti TC"/>
          <w:b/>
          <w:i w:val="0"/>
          <w:color w:val="0B2545"/>
          <w:sz w:val="23"/>
        </w:rPr>
        <w:t>6. AI 电力之困：配电网互联成为算力扩张的物理“硬上限”</w:t>
      </w:r>
    </w:p>
    <w:p>
      <w:pPr>
        <w:spacing w:before="0" w:after="4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>能源行业分析师 · AI 基础设施 · score 47.4</w:t>
      </w:r>
    </w:p>
    <w:p>
      <w:pPr>
        <w:spacing w:before="0" w:after="100" w:line="264" w:lineRule="auto"/>
      </w:pPr>
      <w:r>
        <w:rPr>
          <w:rFonts w:ascii="Calibri" w:hAnsi="Calibri" w:eastAsia="Heiti TC"/>
          <w:b w:val="0"/>
          <w:i w:val="0"/>
          <w:color w:val="334155"/>
          <w:sz w:val="20"/>
        </w:rPr>
        <w:t>AI 电力之困：配电网互联成为算力扩张的物理“硬上限” 日期： 2026-05-20 分析师： energy-analyst 能源行业分析师 态度： 压力测试 (针对 TMT 行业分析师关于 50% AI 权重的支持结论)</w:t>
      </w:r>
    </w:p>
    <w:p>
      <w:pPr>
        <w:spacing w:before="0" w:after="16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 xml:space="preserve">Report: </w:t>
      </w:r>
      <w:hyperlink r:id="rId23">
        <w:r>
          <w:rPr>
            <w:color w:val="285B9D"/>
            <w:u w:val="single"/>
            <w:rFonts w:eastAsia="Heiti TC" w:ascii="Calibri" w:hAnsi="Calibri"/>
          </w:rPr>
          <w:t>reports/archive-9eb6dfa3d7c6</w:t>
        </w:r>
      </w:hyperlink>
    </w:p>
    <w:p>
      <w:pPr>
        <w:pStyle w:val="Heading1"/>
      </w:pPr>
      <w:r>
        <w:t>4. 重点跟踪事项</w:t>
      </w:r>
    </w:p>
    <w:p>
      <w:pPr>
        <w:spacing w:before="0" w:after="40" w:line="264" w:lineRule="auto"/>
      </w:pPr>
      <w:r>
        <w:rPr>
          <w:rFonts w:ascii="Calibri" w:hAnsi="Calibri" w:eastAsia="Heiti TC"/>
          <w:b/>
          <w:i w:val="0"/>
          <w:color w:val="0B2545"/>
          <w:sz w:val="22"/>
        </w:rPr>
        <w:t>工业制造分析师报告 - 2026-05-19</w:t>
      </w:r>
    </w:p>
    <w:p>
      <w:pPr>
        <w:spacing w:before="0" w:after="60" w:line="264" w:lineRule="auto"/>
      </w:pPr>
      <w:r>
        <w:rPr>
          <w:rFonts w:ascii="Calibri" w:hAnsi="Calibri" w:eastAsia="Heiti TC"/>
          <w:b w:val="0"/>
          <w:i w:val="0"/>
          <w:color w:val="334155"/>
          <w:sz w:val="20"/>
        </w:rPr>
        <w:t>工业供给瓶颈，影响 5 / 概率 4</w:t>
      </w:r>
    </w:p>
    <w:p>
      <w:pPr>
        <w:spacing w:before="0" w:after="16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 xml:space="preserve">Report: </w:t>
      </w:r>
      <w:hyperlink r:id="rId13">
        <w:r>
          <w:rPr>
            <w:color w:val="285B9D"/>
            <w:u w:val="single"/>
            <w:rFonts w:eastAsia="Heiti TC" w:ascii="Calibri" w:hAnsi="Calibri"/>
          </w:rPr>
          <w:t>reports/archive-095f02714610</w:t>
        </w:r>
      </w:hyperlink>
    </w:p>
    <w:p>
      <w:pPr>
        <w:spacing w:before="0" w:after="40" w:line="264" w:lineRule="auto"/>
      </w:pPr>
      <w:r>
        <w:rPr>
          <w:rFonts w:ascii="Calibri" w:hAnsi="Calibri" w:eastAsia="Heiti TC"/>
          <w:b/>
          <w:i w:val="0"/>
          <w:color w:val="0B2545"/>
          <w:sz w:val="22"/>
        </w:rPr>
        <w:t>研究报告：2026-05-17 - 变压器供应瓶颈与GOES利润捕获</w:t>
      </w:r>
    </w:p>
    <w:p>
      <w:pPr>
        <w:spacing w:before="0" w:after="60" w:line="264" w:lineRule="auto"/>
      </w:pPr>
      <w:r>
        <w:rPr>
          <w:rFonts w:ascii="Calibri" w:hAnsi="Calibri" w:eastAsia="Heiti TC"/>
          <w:b w:val="0"/>
          <w:i w:val="0"/>
          <w:color w:val="334155"/>
          <w:sz w:val="20"/>
        </w:rPr>
        <w:t>工业供给瓶颈，影响 5 / 概率 2</w:t>
      </w:r>
    </w:p>
    <w:p>
      <w:pPr>
        <w:spacing w:before="0" w:after="16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 xml:space="preserve">Report: </w:t>
      </w:r>
      <w:hyperlink r:id="rId24">
        <w:r>
          <w:rPr>
            <w:color w:val="285B9D"/>
            <w:u w:val="single"/>
            <w:rFonts w:eastAsia="Heiti TC" w:ascii="Calibri" w:hAnsi="Calibri"/>
          </w:rPr>
          <w:t>reports/archive-8e56e5109bff</w:t>
        </w:r>
      </w:hyperlink>
    </w:p>
    <w:p>
      <w:pPr>
        <w:spacing w:before="0" w:after="40" w:line="264" w:lineRule="auto"/>
      </w:pPr>
      <w:r>
        <w:rPr>
          <w:rFonts w:ascii="Calibri" w:hAnsi="Calibri" w:eastAsia="Heiti TC"/>
          <w:b/>
          <w:i w:val="0"/>
          <w:color w:val="0B2545"/>
          <w:sz w:val="22"/>
        </w:rPr>
        <w:t>关键电力设备供应链瓶颈：变压器与开关设备交付周期调研</w:t>
      </w:r>
    </w:p>
    <w:p>
      <w:pPr>
        <w:spacing w:before="0" w:after="60" w:line="264" w:lineRule="auto"/>
      </w:pPr>
      <w:r>
        <w:rPr>
          <w:rFonts w:ascii="Calibri" w:hAnsi="Calibri" w:eastAsia="Heiti TC"/>
          <w:b w:val="0"/>
          <w:i w:val="0"/>
          <w:color w:val="334155"/>
          <w:sz w:val="20"/>
        </w:rPr>
        <w:t>工业供给瓶颈，影响 5 / 概率 3</w:t>
      </w:r>
    </w:p>
    <w:p>
      <w:pPr>
        <w:spacing w:before="0" w:after="16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 xml:space="preserve">Report: </w:t>
      </w:r>
      <w:hyperlink r:id="rId25">
        <w:r>
          <w:rPr>
            <w:color w:val="285B9D"/>
            <w:u w:val="single"/>
            <w:rFonts w:eastAsia="Heiti TC" w:ascii="Calibri" w:hAnsi="Calibri"/>
          </w:rPr>
          <w:t>reports/archive-90262cad3c96</w:t>
        </w:r>
      </w:hyperlink>
    </w:p>
    <w:p>
      <w:pPr>
        <w:pStyle w:val="Heading1"/>
      </w:pPr>
      <w:r>
        <w:t>5. 证据表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720"/>
        <w:gridCol w:w="1560"/>
        <w:gridCol w:w="1680"/>
        <w:gridCol w:w="900"/>
        <w:gridCol w:w="1500"/>
      </w:tblGrid>
      <w:tr>
        <w:tc>
          <w:tcPr>
            <w:tcW w:type="dxa" w:w="3720"/>
            <w:vAlign w:val="center"/>
            <w:shd w:fill="F2F4F7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475569"/>
                <w:sz w:val="18"/>
              </w:rPr>
              <w:t>报告</w:t>
            </w:r>
          </w:p>
        </w:tc>
        <w:tc>
          <w:tcPr>
            <w:tcW w:type="dxa" w:w="1560"/>
            <w:vAlign w:val="center"/>
            <w:shd w:fill="F2F4F7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475569"/>
                <w:sz w:val="18"/>
              </w:rPr>
              <w:t>分析师</w:t>
            </w:r>
          </w:p>
        </w:tc>
        <w:tc>
          <w:tcPr>
            <w:tcW w:type="dxa" w:w="1680"/>
            <w:vAlign w:val="center"/>
            <w:shd w:fill="F2F4F7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475569"/>
                <w:sz w:val="18"/>
              </w:rPr>
              <w:t>行业链</w:t>
            </w:r>
          </w:p>
        </w:tc>
        <w:tc>
          <w:tcPr>
            <w:tcW w:type="dxa" w:w="900"/>
            <w:vAlign w:val="center"/>
            <w:shd w:fill="F2F4F7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475569"/>
                <w:sz w:val="18"/>
              </w:rPr>
              <w:t>评分</w:t>
            </w:r>
          </w:p>
        </w:tc>
        <w:tc>
          <w:tcPr>
            <w:tcW w:type="dxa" w:w="1500"/>
            <w:vAlign w:val="center"/>
            <w:shd w:fill="F2F4F7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475569"/>
                <w:sz w:val="18"/>
              </w:rPr>
              <w:t>风险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堡垒轴成本溢价对 AI 芯片需求与半导体毛利的冲击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TMT行业分析师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50.2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2026-05-20 能源研究片：AI算力需求与能源基建的结构性机会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能源行业分析师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49.4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2026-05-20 - 工业制造压力测试：电网设备供应能否支撑AI需求转向电力侧？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工业制造分析师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电力与电网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49.3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AI 电力基础设施 2026–2027 铜需求增量测算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工业制造分析师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49.0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常规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材料端压力测试：高频PCB与AiP上游韧性评估（2026-05-20）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材料行业分析师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工业供给瓶颈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48.5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4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AI 电力之困：配电网互联成为算力扩张的物理“硬上限”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能源行业分析师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47.4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原油市场每日监测（2026-05-20）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能源行业分析师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43.5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深度研究报告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深研主编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43.4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AI 算力链：HBM4 拐点与先进封装产能的“深水区”验证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TMT行业分析师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43.3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prior research notes— 受监管公用事业CapEx融资节奏与银行/保险对数据中心电力基础设施的信贷敞...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金融行业分析师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43.1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300065.SZ 风险评估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深研主编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43.1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研究记录 07 全球周期压力测试 - 2026-05-20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首席经济学家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43.0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在 5% 收益率与 $110 油价环境下，电网/核电是否比 GPU 更像“AI 因子”？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TMT行业分析师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43.0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常规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A 股 AI 基础设施情绪压力测试 — 2026-05-20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市场情绪师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42.5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300065.SZ 投资论点汇总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深研主编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42.5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2026-05-20 - 工业制造综合：Yen Carry、AI 电力设备与实体瓶颈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工业制造分析师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工业供给瓶颈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42.5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美国核电公用事业：Barakah 袭击后的“稳定岛”估值压力测试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公用事业分析师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42.4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研究报告：电力与电网基础设施——业绩确定性与拥挤度评估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能源行业分析师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电力与电网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42.2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常规</w:t>
            </w:r>
          </w:p>
        </w:tc>
      </w:tr>
    </w:tbl>
    <w:p>
      <w:pPr>
        <w:spacing w:before="0" w:after="160" w:line="264" w:lineRule="auto"/>
      </w:pPr>
      <w:r>
        <w:rPr>
          <w:rFonts w:ascii="Calibri" w:hAnsi="Calibri" w:eastAsia="Heiti TC"/>
          <w:b w:val="0"/>
          <w:i/>
          <w:color w:val="667085"/>
          <w:sz w:val="17"/>
        </w:rPr>
        <w:t>Table 1. Evidence table excerpt. Full evidence remains available in the interactive daily brief.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Heiti TC"/>
        <w:color w:val="667085"/>
        <w:sz w:val="17"/>
      </w:rPr>
      <w:t>Generated from local AI Institute archive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Calibri" w:hAnsi="Calibri" w:eastAsia="Heiti TC"/>
        <w:color w:val="667085"/>
        <w:sz w:val="18"/>
      </w:rPr>
      <w:t>AI Institute Daily Investor Brief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Heiti TC"/>
      <w:b w:val="0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Heiti T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Heiti T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Heiti T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Heiti TC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Heiti TC"/>
      <w:b w:val="0"/>
      <w:i/>
      <w:iCs/>
      <w:color w:val="475569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reports/archive-4a346f9703d9" TargetMode="External"/><Relationship Id="rId13" Type="http://schemas.openxmlformats.org/officeDocument/2006/relationships/hyperlink" Target="reports/archive-095f02714610" TargetMode="External"/><Relationship Id="rId14" Type="http://schemas.openxmlformats.org/officeDocument/2006/relationships/hyperlink" Target="reports/archive-9c8e51b4e6d0" TargetMode="External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hyperlink" Target="reports/archive-7ecbbc82b4c2" TargetMode="External"/><Relationship Id="rId20" Type="http://schemas.openxmlformats.org/officeDocument/2006/relationships/hyperlink" Target="reports/archive-60904512e3a0" TargetMode="External"/><Relationship Id="rId21" Type="http://schemas.openxmlformats.org/officeDocument/2006/relationships/hyperlink" Target="reports/archive-adf450bd8e1b" TargetMode="External"/><Relationship Id="rId22" Type="http://schemas.openxmlformats.org/officeDocument/2006/relationships/hyperlink" Target="reports/archive-1fa31bbdea46" TargetMode="External"/><Relationship Id="rId23" Type="http://schemas.openxmlformats.org/officeDocument/2006/relationships/hyperlink" Target="reports/archive-9eb6dfa3d7c6" TargetMode="External"/><Relationship Id="rId24" Type="http://schemas.openxmlformats.org/officeDocument/2006/relationships/hyperlink" Target="reports/archive-8e56e5109bff" TargetMode="External"/><Relationship Id="rId25" Type="http://schemas.openxmlformats.org/officeDocument/2006/relationships/hyperlink" Target="reports/archive-90262cad3c9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Institute Daily Brief 2026-05-20</dc:title>
  <dc:subject>Daily investor research brief</dc:subject>
  <dc:creator>AI Institute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