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Arial Unicode MS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Arial Unicode MS"/>
          <w:b w:val="0"/>
          <w:i w:val="0"/>
        </w:rPr>
        <w:t>2026-06-01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Arial Unicode MS"/>
          <w:b/>
          <w:i w:val="0"/>
          <w:color w:val="0B2545"/>
          <w:sz w:val="34"/>
        </w:rPr>
        <w:t>AI 基础设施仍是今日主线，宏观通胀传导提供第二层验证。</w:t>
      </w:r>
    </w:p>
    <w:p>
      <w:pPr>
        <w:spacing w:before="0" w:after="24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2"/>
        </w:rPr>
        <w:t>2026-06-01 共纳入 73 篇中文研究结果，覆盖 4 位活跃分析师和 6 条主要行业链，较 2026-05-31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Arial Unicode MS"/>
                <w:b/>
                <w:color w:val="285B9D"/>
                <w:sz w:val="36"/>
              </w:rPr>
              <w:t>73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Arial Unicode MS"/>
                <w:b/>
                <w:color w:val="237A5B"/>
                <w:sz w:val="36"/>
              </w:rPr>
              <w:t>4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Arial Unicode MS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Arial Unicode MS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Arial Unicode MS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1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研究报告：AI电网中游环节（GOES/变压器）的工业政策与地缘政治风险分析 是今日最高权重结论，核心证据来自 未识别，关联 工业供给瓶颈。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变化信号: </w:t>
      </w:r>
      <w:r>
        <w:rPr>
          <w:rFonts w:ascii="Calibri" w:hAnsi="Calibri" w:eastAsia="Arial Unicode MS"/>
          <w:color w:val="111827"/>
          <w:sz w:val="21"/>
        </w:rPr>
        <w:t>AI 今日 降温，当日计数 60，前一日计数 198。</w:t>
      </w:r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风险矩阵最需要跟踪的是 电力与电网：算力瓶颈压力测试：电网传输与并网队列的真实时滞。</w:t>
        </w:r>
      </w:hyperlink>
    </w:p>
    <w:p>
      <w:pPr>
        <w:spacing w:after="140"/>
        <w:ind w:left="259" w:hanging="259"/>
      </w:pPr>
      <w:r>
        <w:rPr>
          <w:rFonts w:ascii="Calibri" w:hAnsi="Calibri" w:eastAsia="Arial Unicode MS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Arial Unicode MS" w:ascii="Calibri" w:hAnsi="Calibri"/>
          </w:rPr>
          <w:t>AI 基础设施 今日 60 条、近七日 1362 条，风险信号 922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Arial Unicode MS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Arial Unicode MS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1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1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1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1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Arial Unicode MS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1. 研究报告：AI电网中游环节（GOES/变压器）的工业政策与地缘政治风险分析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工业供给瓶颈 · score 53.2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研究报告：AI电网中游环节（GOES/变压器）的工业政策与地缘政治风险分析 日期： 2026-06-01 分析师： 政策分析师 (agy) 状态： 压力测试 / 研究发现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Arial Unicode MS" w:ascii="Calibri" w:hAnsi="Calibri"/>
          </w:rPr>
          <w:t>reports/archive-b5b0ba20bad0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2. "算电协同"下电力与电网设备：CAPEX 脉冲与周期定位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50.6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日期： 2026-06-01（亚洲/新加坡） - 分析师： 公用事业分析师（utilities-analyst） - 立场： 支持（延伸 prior research notes/ prior research notes） - 问题： 电网升级需求如何重塑公用事...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Arial Unicode MS" w:ascii="Calibri" w:hAnsi="Calibri"/>
          </w:rPr>
          <w:t>reports/archive-06778d37ded7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3. AI 数据中心电力成本：对西部绿电迁移叙事的压力测试及对算力贝塔毛利率的侵蚀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49.2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数据中心电力成本：对西部绿电迁移叙事的压力测试及对算力贝塔毛利率的侵蚀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Arial Unicode MS" w:ascii="Calibri" w:hAnsi="Calibri"/>
          </w:rPr>
          <w:t>reports/archive-b8ed0ee6dae7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4. 2026-06-01 风险报告：AI电网设备脱钩与TMT估值压力测试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AI 基础设施 · score 48.8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截至 2026-06-01（Asia/Singapore），本报告对前序研究结论做压力测试，而不是否定：核心风险不是 AI 需求消失，而是送电设备成为限制“可产生收入算力”的瓶颈。结论具有明显非对称性：单纯的...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Arial Unicode MS" w:ascii="Calibri" w:hAnsi="Calibri"/>
          </w:rPr>
          <w:t>reports/archive-761c20d44e35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5. 半导体设备与AI硬件产业链的自主化韧性及出口管制风险：高端制造缓冲的“应力测试”与三大裂纹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宏观通胀传导 · score 47.2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半导体设备与AI硬件产业链的自主化韧性及出口管制风险：高端制造缓冲的“应力测试”与三大裂纹 报告日期 : 2026-06-01 分析师 : agy (TMT行业分析师) 本报告定位 : 压力测试 (Stress-Test) / 部...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Arial Unicode MS" w:ascii="Calibri" w:hAnsi="Calibri"/>
          </w:rPr>
          <w:t>reports/archive-f0ab6e35f444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3"/>
        </w:rPr>
        <w:t>6. 2026-06-01 电网瓶颈：公用事业成为 AI 电力落地的收费闸门</w:t>
      </w:r>
    </w:p>
    <w:p>
      <w:pPr>
        <w:spacing w:before="0" w:after="4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>未识别 · 电力与电网 · score 46.5</w:t>
      </w:r>
    </w:p>
    <w:p>
      <w:pPr>
        <w:spacing w:before="0" w:after="10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日期： 2026-06-01 分析师： codex（公用事业分析师） Board ID： 08da7f87-5408-464b-a324-17059c484493 研究记录 立场： support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Arial Unicode MS" w:ascii="Calibri" w:hAnsi="Calibri"/>
          </w:rPr>
          <w:t>reports/archive-23d13a6ba04b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算力瓶颈压力测试：电网传输与并网队列的真实时滞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Arial Unicode MS" w:ascii="Calibri" w:hAnsi="Calibri"/>
          </w:rPr>
          <w:t>reports/archive-5166d41eec14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前序研究研究报告 — 2026-05-28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Arial Unicode MS" w:ascii="Calibri" w:hAnsi="Calibri"/>
          </w:rPr>
          <w:t>reports/archive-19bf4c5712c0</w:t>
        </w:r>
      </w:hyperlink>
    </w:p>
    <w:p>
      <w:pPr>
        <w:spacing w:before="0" w:after="40" w:line="264" w:lineRule="auto"/>
      </w:pPr>
      <w:r>
        <w:rPr>
          <w:rFonts w:ascii="Calibri" w:hAnsi="Calibri" w:eastAsia="Arial Unicode MS"/>
          <w:b/>
          <w:i w:val="0"/>
          <w:color w:val="0B2545"/>
          <w:sz w:val="22"/>
        </w:rPr>
        <w:t>AI算力扩张与电网基础设施约束：压力测试CapEx叙事的物理极限</w:t>
      </w:r>
    </w:p>
    <w:p>
      <w:pPr>
        <w:spacing w:before="0" w:after="60" w:line="264" w:lineRule="auto"/>
      </w:pPr>
      <w:r>
        <w:rPr>
          <w:rFonts w:ascii="Calibri" w:hAnsi="Calibri" w:eastAsia="Arial Unicode MS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Arial Unicode MS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Arial Unicode MS" w:ascii="Calibri" w:hAnsi="Calibri"/>
          </w:rPr>
          <w:t>reports/archive-393766a70997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研究报告：AI电网中游环节（GOES/变压器）的工业政策与地缘政治风险分析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"算电协同"下电力与电网设备：CAPEX 脉冲与周期定位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50.6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 数据中心电力成本：对西部绿电迁移叙事的压力测试及对算力贝塔毛利率的侵蚀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49.2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2026-06-01 风险报告：AI电网设备脱钩与TMT估值压力测试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48.8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半导体设备与AI硬件产业链的自主化韧性及出口管制风险：高端制造缓冲的“应力测试”与三大裂纹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47.2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2026-06-01 电网瓶颈：公用事业成为 AI 电力落地的收费闸门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46.5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2026年中国电力与能源成本上涨对中游制造业毛利的传导研究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45.2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notes— AI 算力链的成本压力与流动性风险：半导体上游与电力成本能否支撑“算力贝...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WLEF物理实体防线 vs. 算力贝塔毛利挤压：全局杠铃再平衡策略与资产压力测试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prior research notes— SiC 价格战的产业链利润重塑与半导体板块配置逻辑演变（综合卡）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电网装备与功率半导体国产化替代的韧性：电网侧 SiC/IGBT 能否支撑 2027 年后的基本盘？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能源供应侧：AI 时代核能、SMR 与可再生能源的产能扩张边界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极端低温供应受限下的量子芯片半导体工艺韧性评估（2026-06-01）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前序研究 — 铜、铝与电工钢：AI 电网背后的"第二次 Capex 冲击"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2026-06-01 全球宏观卡：需求承压，但尚未断裂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量子硬件供应链与制造规模化能力评估：压力测试 (2026-06-01)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AI 物理墙的跨资产组合与对冲框架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7"/>
              </w:rPr>
              <w:t>中国上游原材料成本对中游毛利的挤压及其对零售商的连锁影响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/>
                <w:color w:val="111827"/>
                <w:sz w:val="17"/>
              </w:rPr>
              <w:t>41.2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Arial Unicode MS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Arial Unicode MS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rial Unicode MS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b5b0ba20bad0" TargetMode="External"/><Relationship Id="rId13" Type="http://schemas.openxmlformats.org/officeDocument/2006/relationships/hyperlink" Target="reports/archive-5166d41eec14" TargetMode="External"/><Relationship Id="rId14" Type="http://schemas.openxmlformats.org/officeDocument/2006/relationships/hyperlink" Target="reports/archive-8ac1dbc56b2f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06778d37ded7" TargetMode="External"/><Relationship Id="rId20" Type="http://schemas.openxmlformats.org/officeDocument/2006/relationships/hyperlink" Target="reports/archive-b8ed0ee6dae7" TargetMode="External"/><Relationship Id="rId21" Type="http://schemas.openxmlformats.org/officeDocument/2006/relationships/hyperlink" Target="reports/archive-761c20d44e35" TargetMode="External"/><Relationship Id="rId22" Type="http://schemas.openxmlformats.org/officeDocument/2006/relationships/hyperlink" Target="reports/archive-f0ab6e35f444" TargetMode="External"/><Relationship Id="rId23" Type="http://schemas.openxmlformats.org/officeDocument/2006/relationships/hyperlink" Target="reports/archive-23d13a6ba04b" TargetMode="External"/><Relationship Id="rId24" Type="http://schemas.openxmlformats.org/officeDocument/2006/relationships/hyperlink" Target="reports/archive-19bf4c5712c0" TargetMode="External"/><Relationship Id="rId25" Type="http://schemas.openxmlformats.org/officeDocument/2006/relationships/hyperlink" Target="reports/archive-393766a709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2026-06-01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