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iragino Sans GB"/>
          <w:b/>
          <w:i w:val="0"/>
          <w:color w:val="285B9D"/>
          <w:sz w:val="20"/>
        </w:rPr>
        <w:t>AI Institute</w:t>
      </w:r>
    </w:p>
    <w:p>
      <w:pPr>
        <w:pStyle w:val="Title"/>
        <w:spacing w:before="0" w:after="80" w:line="264" w:lineRule="auto"/>
      </w:pPr>
      <w:r>
        <w:rPr>
          <w:rFonts w:ascii="Calibri" w:hAnsi="Calibri" w:eastAsia="Hiragino Sans GB"/>
          <w:b w:val="0"/>
          <w:i w:val="0"/>
        </w:rPr>
        <w:t>每日投资研究简报</w:t>
      </w:r>
    </w:p>
    <w:p>
      <w:pPr>
        <w:pStyle w:val="Subtitle"/>
        <w:spacing w:before="0" w:after="240" w:line="264" w:lineRule="auto"/>
      </w:pPr>
      <w:r>
        <w:rPr>
          <w:rFonts w:ascii="Calibri" w:hAnsi="Calibri" w:eastAsia="Hiragino Sans GB"/>
          <w:b w:val="0"/>
          <w:i w:val="0"/>
        </w:rPr>
        <w:t>2026-06-09 · webpage screenshot DOCX edition</w:t>
      </w:r>
    </w:p>
    <w:p>
      <w:pPr>
        <w:spacing w:before="0" w:after="160" w:line="264" w:lineRule="auto"/>
      </w:pPr>
      <w:r>
        <w:rPr>
          <w:rFonts w:ascii="Calibri" w:hAnsi="Calibri" w:eastAsia="Hiragino Sans GB"/>
          <w:b/>
          <w:i w:val="0"/>
          <w:color w:val="0B2545"/>
          <w:sz w:val="34"/>
        </w:rPr>
        <w:t>宏观通胀传导仍是今日主线，AI 基础设施提供第二层验证。</w:t>
      </w:r>
    </w:p>
    <w:p>
      <w:pPr>
        <w:spacing w:before="0" w:after="240" w:line="264" w:lineRule="auto"/>
      </w:pPr>
      <w:r>
        <w:rPr>
          <w:rFonts w:ascii="Calibri" w:hAnsi="Calibri" w:eastAsia="Hiragino Sans GB"/>
          <w:b w:val="0"/>
          <w:i w:val="0"/>
          <w:color w:val="334155"/>
          <w:sz w:val="22"/>
        </w:rPr>
        <w:t>2026-06-09 共纳入 278 篇中文研究结果，覆盖 31 位活跃分析师和 6 条主要行业链，较 2026-06-08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iragino Sans GB"/>
                <w:b/>
                <w:color w:val="667085"/>
                <w:sz w:val="17"/>
              </w:rPr>
              <w:t>今日报告</w:t>
              <w:br/>
            </w:r>
            <w:r>
              <w:rPr>
                <w:rFonts w:ascii="Calibri" w:hAnsi="Calibri" w:eastAsia="Hiragino Sans GB"/>
                <w:b/>
                <w:color w:val="285B9D"/>
                <w:sz w:val="36"/>
              </w:rPr>
              <w:t>278</w:t>
            </w:r>
          </w:p>
        </w:tc>
        <w:tc>
          <w:tcPr>
            <w:tcW w:type="dxa" w:w="2340"/>
            <w:vAlign w:val="center"/>
            <w:shd w:fill="F8FAFC"/>
          </w:tcPr>
          <w:p>
            <w:pPr>
              <w:spacing w:after="40"/>
            </w:pPr>
            <w:r>
              <w:rPr>
                <w:rFonts w:ascii="Calibri" w:hAnsi="Calibri" w:eastAsia="Hiragino Sans GB"/>
                <w:b/>
                <w:color w:val="667085"/>
                <w:sz w:val="17"/>
              </w:rPr>
              <w:t>活跃分析师</w:t>
              <w:br/>
            </w:r>
            <w:r>
              <w:rPr>
                <w:rFonts w:ascii="Calibri" w:hAnsi="Calibri" w:eastAsia="Hiragino Sans GB"/>
                <w:b/>
                <w:color w:val="237A5B"/>
                <w:sz w:val="36"/>
              </w:rPr>
              <w:t>31</w:t>
            </w:r>
          </w:p>
        </w:tc>
        <w:tc>
          <w:tcPr>
            <w:tcW w:type="dxa" w:w="2340"/>
            <w:vAlign w:val="center"/>
            <w:shd w:fill="F8FAFC"/>
          </w:tcPr>
          <w:p>
            <w:pPr>
              <w:spacing w:after="40"/>
            </w:pPr>
            <w:r>
              <w:rPr>
                <w:rFonts w:ascii="Calibri" w:hAnsi="Calibri" w:eastAsia="Hiragino Sans GB"/>
                <w:b/>
                <w:color w:val="667085"/>
                <w:sz w:val="17"/>
              </w:rPr>
              <w:t>活跃链条</w:t>
              <w:br/>
            </w:r>
            <w:r>
              <w:rPr>
                <w:rFonts w:ascii="Calibri" w:hAnsi="Calibri" w:eastAsia="Hiragino Sans GB"/>
                <w:b/>
                <w:color w:val="A8731B"/>
                <w:sz w:val="36"/>
              </w:rPr>
              <w:t>6</w:t>
            </w:r>
          </w:p>
        </w:tc>
        <w:tc>
          <w:tcPr>
            <w:tcW w:type="dxa" w:w="2340"/>
            <w:vAlign w:val="center"/>
            <w:shd w:fill="F8FAFC"/>
          </w:tcPr>
          <w:p>
            <w:pPr>
              <w:spacing w:after="40"/>
            </w:pPr>
            <w:r>
              <w:rPr>
                <w:rFonts w:ascii="Calibri" w:hAnsi="Calibri" w:eastAsia="Hiragino Sans GB"/>
                <w:b/>
                <w:color w:val="667085"/>
                <w:sz w:val="17"/>
              </w:rPr>
              <w:t>风险信号</w:t>
              <w:br/>
            </w:r>
            <w:r>
              <w:rPr>
                <w:rFonts w:ascii="Calibri" w:hAnsi="Calibri" w:eastAsia="Hiragino Sans GB"/>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09-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iragino Sans GB"/>
          <w:b/>
          <w:color w:val="285B9D"/>
          <w:sz w:val="21"/>
        </w:rPr>
        <w:t xml:space="preserve">主线判断: </w:t>
      </w:r>
      <w:hyperlink r:id="rId12">
        <w:r>
          <w:rPr>
            <w:color w:val="285B9D"/>
            <w:u w:val="single"/>
            <w:rFonts w:eastAsia="Hiragino Sans GB" w:ascii="Calibri" w:hAnsi="Calibri"/>
          </w:rPr>
          <w:t>公用事业深度分析：电力设备供应链瓶颈与电网并网对 AI 数据中心的风险评估 是今日最高权重结论，核心证据来自 未识别，关联 电力与电网。</w:t>
        </w:r>
      </w:hyperlink>
    </w:p>
    <w:p>
      <w:pPr>
        <w:spacing w:after="140"/>
        <w:ind w:left="259" w:hanging="259"/>
      </w:pPr>
      <w:r>
        <w:rPr>
          <w:rFonts w:ascii="Calibri" w:hAnsi="Calibri" w:eastAsia="Hiragino Sans GB"/>
          <w:b/>
          <w:color w:val="285B9D"/>
          <w:sz w:val="21"/>
        </w:rPr>
        <w:t xml:space="preserve">变化信号: </w:t>
      </w:r>
      <w:r>
        <w:rPr>
          <w:rFonts w:ascii="Calibri" w:hAnsi="Calibri" w:eastAsia="Hiragino Sans GB"/>
          <w:color w:val="111827"/>
          <w:sz w:val="21"/>
        </w:rPr>
        <w:t>宏观 今日 降温，当日计数 200，前一日计数 283。</w:t>
      </w:r>
    </w:p>
    <w:p>
      <w:pPr>
        <w:spacing w:after="140"/>
        <w:ind w:left="259" w:hanging="259"/>
      </w:pPr>
      <w:r>
        <w:rPr>
          <w:rFonts w:ascii="Calibri" w:hAnsi="Calibri" w:eastAsia="Hiragino Sans GB"/>
          <w:b/>
          <w:color w:val="285B9D"/>
          <w:sz w:val="21"/>
        </w:rPr>
        <w:t xml:space="preserve">风险焦点: </w:t>
      </w:r>
      <w:hyperlink r:id="rId13">
        <w:r>
          <w:rPr>
            <w:color w:val="285B9D"/>
            <w:u w:val="single"/>
            <w:rFonts w:eastAsia="Hiragino Sans GB" w:ascii="Calibri" w:hAnsi="Calibri"/>
          </w:rPr>
          <w:t>风险矩阵最需要跟踪的是 电力与电网：AI数据中心的公用事业资本开支与电网并网瓶颈。</w:t>
        </w:r>
      </w:hyperlink>
    </w:p>
    <w:p>
      <w:pPr>
        <w:spacing w:after="140"/>
        <w:ind w:left="259" w:hanging="259"/>
      </w:pPr>
      <w:r>
        <w:rPr>
          <w:rFonts w:ascii="Calibri" w:hAnsi="Calibri" w:eastAsia="Hiragino Sans GB"/>
          <w:b/>
          <w:color w:val="285B9D"/>
          <w:sz w:val="21"/>
        </w:rPr>
        <w:t xml:space="preserve">证据密度: </w:t>
      </w:r>
      <w:hyperlink r:id="rId14">
        <w:r>
          <w:rPr>
            <w:color w:val="285B9D"/>
            <w:u w:val="single"/>
            <w:rFonts w:eastAsia="Hiragino Sans GB" w:ascii="Calibri" w:hAnsi="Calibri"/>
          </w:rPr>
          <w:t>宏观通胀传导 今日 228 条、近七日 1970 条，风险信号 1370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iragino Sans GB"/>
                <w:b/>
                <w:color w:val="7A5A00"/>
                <w:sz w:val="21"/>
              </w:rPr>
              <w:t xml:space="preserve">投资解读: </w:t>
            </w:r>
            <w:r>
              <w:rPr>
                <w:rFonts w:ascii="Calibri" w:hAnsi="Calibri" w:eastAsia="Hiragino Sans GB"/>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09-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09-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09-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09-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iragino Sans GB"/>
          <w:b/>
          <w:i w:val="0"/>
          <w:color w:val="0B2545"/>
          <w:sz w:val="23"/>
        </w:rPr>
        <w:t>1. 公用事业深度分析：电力设备供应链瓶颈与电网并网对 AI 数据中心的风险评估</w:t>
      </w:r>
    </w:p>
    <w:p>
      <w:pPr>
        <w:spacing w:before="0" w:after="40" w:line="264" w:lineRule="auto"/>
      </w:pPr>
      <w:r>
        <w:rPr>
          <w:rFonts w:ascii="Calibri" w:hAnsi="Calibri" w:eastAsia="Hiragino Sans GB"/>
          <w:b w:val="0"/>
          <w:i w:val="0"/>
          <w:color w:val="667085"/>
          <w:sz w:val="17"/>
        </w:rPr>
        <w:t>未识别 · 电力与电网 · score 57.0</w:t>
      </w:r>
    </w:p>
    <w:p>
      <w:pPr>
        <w:spacing w:before="0" w:after="100" w:line="264" w:lineRule="auto"/>
      </w:pPr>
      <w:r>
        <w:rPr>
          <w:rFonts w:ascii="Calibri" w:hAnsi="Calibri" w:eastAsia="Hiragino Sans GB"/>
          <w:b w:val="0"/>
          <w:i w:val="0"/>
          <w:color w:val="334155"/>
          <w:sz w:val="20"/>
        </w:rPr>
        <w:t>公用事业深度分析：电力设备供应链瓶颈与电网并网对 AI 数据中心的风险评估 日期： 2026-06-09 分析师 ID： utilities-analyst 主题： 针对 PJM/ERCOT 区域 20-25% 容量延期核心阈值的压力测试</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reports/archive-1541cdac5ad4</w:t>
        </w:r>
      </w:hyperlink>
    </w:p>
    <w:p>
      <w:pPr>
        <w:spacing w:before="0" w:after="40" w:line="264" w:lineRule="auto"/>
      </w:pPr>
      <w:r>
        <w:rPr>
          <w:rFonts w:ascii="Calibri" w:hAnsi="Calibri" w:eastAsia="Hiragino Sans GB"/>
          <w:b/>
          <w:i w:val="0"/>
          <w:color w:val="0B2545"/>
          <w:sz w:val="23"/>
        </w:rPr>
        <w:t>2. AI硬件兑现的能源瓶颈压力测试 — 2026-06-09</w:t>
      </w:r>
    </w:p>
    <w:p>
      <w:pPr>
        <w:spacing w:before="0" w:after="40" w:line="264" w:lineRule="auto"/>
      </w:pPr>
      <w:r>
        <w:rPr>
          <w:rFonts w:ascii="Calibri" w:hAnsi="Calibri" w:eastAsia="Hiragino Sans GB"/>
          <w:b w:val="0"/>
          <w:i w:val="0"/>
          <w:color w:val="667085"/>
          <w:sz w:val="17"/>
        </w:rPr>
        <w:t>未识别 · 宏观通胀传导 · score 55.2</w:t>
      </w:r>
    </w:p>
    <w:p>
      <w:pPr>
        <w:spacing w:before="0" w:after="100" w:line="264" w:lineRule="auto"/>
      </w:pPr>
      <w:r>
        <w:rPr>
          <w:rFonts w:ascii="Calibri" w:hAnsi="Calibri" w:eastAsia="Hiragino Sans GB"/>
          <w:b w:val="0"/>
          <w:i w:val="0"/>
          <w:color w:val="334155"/>
          <w:sz w:val="20"/>
        </w:rPr>
        <w:t>工作日期：2026-06-09（能源行业分析师，） - 立场：stress-test - 问题：全球数据中心侧的电力容量约束与能源价格波动，是否会构成限制AI硬件龙头产能兑现的核心物理瓶颈？</w:t>
      </w:r>
    </w:p>
    <w:p>
      <w:pPr>
        <w:spacing w:before="0" w:after="160" w:line="264" w:lineRule="auto"/>
      </w:pPr>
      <w:r>
        <w:rPr>
          <w:rFonts w:ascii="Calibri" w:hAnsi="Calibri" w:eastAsia="Hiragino Sans GB"/>
          <w:b w:val="0"/>
          <w:i w:val="0"/>
          <w:color w:val="667085"/>
          <w:sz w:val="17"/>
        </w:rPr>
        <w:t xml:space="preserve">Report: </w:t>
      </w:r>
      <w:hyperlink r:id="rId19">
        <w:r>
          <w:rPr>
            <w:color w:val="285B9D"/>
            <w:u w:val="single"/>
            <w:rFonts w:eastAsia="Hiragino Sans GB" w:ascii="Calibri" w:hAnsi="Calibri"/>
          </w:rPr>
          <w:t>reports/archive-76f1d07f82d3</w:t>
        </w:r>
      </w:hyperlink>
    </w:p>
    <w:p>
      <w:pPr>
        <w:spacing w:before="0" w:after="40" w:line="264" w:lineRule="auto"/>
      </w:pPr>
      <w:r>
        <w:rPr>
          <w:rFonts w:ascii="Calibri" w:hAnsi="Calibri" w:eastAsia="Hiragino Sans GB"/>
          <w:b/>
          <w:i w:val="0"/>
          <w:color w:val="0B2545"/>
          <w:sz w:val="23"/>
        </w:rPr>
        <w:t>3. 截至2026-06-09的公用事业与电网设备筛选</w:t>
      </w:r>
    </w:p>
    <w:p>
      <w:pPr>
        <w:spacing w:before="0" w:after="40" w:line="264" w:lineRule="auto"/>
      </w:pPr>
      <w:r>
        <w:rPr>
          <w:rFonts w:ascii="Calibri" w:hAnsi="Calibri" w:eastAsia="Hiragino Sans GB"/>
          <w:b w:val="0"/>
          <w:i w:val="0"/>
          <w:color w:val="667085"/>
          <w:sz w:val="17"/>
        </w:rPr>
        <w:t>未识别 · AI 基础设施 · score 53.4</w:t>
      </w:r>
    </w:p>
    <w:p>
      <w:pPr>
        <w:spacing w:before="0" w:after="100" w:line="264" w:lineRule="auto"/>
      </w:pPr>
      <w:r>
        <w:rPr>
          <w:rFonts w:ascii="Calibri" w:hAnsi="Calibri" w:eastAsia="Hiragino Sans GB"/>
          <w:b w:val="0"/>
          <w:i w:val="0"/>
          <w:color w:val="334155"/>
          <w:sz w:val="20"/>
        </w:rPr>
        <w:t>截至2026-06-09，本报告对研究记录的轮动逻辑作综合判断：更好的风险收益不是泛 AI beta，而是受益于数据中心负荷、电网瓶颈和可回收费基资本开支的受监管电力公用事业与电网承包商，同时要避开...</w:t>
      </w:r>
    </w:p>
    <w:p>
      <w:pPr>
        <w:spacing w:before="0" w:after="160" w:line="264" w:lineRule="auto"/>
      </w:pPr>
      <w:r>
        <w:rPr>
          <w:rFonts w:ascii="Calibri" w:hAnsi="Calibri" w:eastAsia="Hiragino Sans GB"/>
          <w:b w:val="0"/>
          <w:i w:val="0"/>
          <w:color w:val="667085"/>
          <w:sz w:val="17"/>
        </w:rPr>
        <w:t xml:space="preserve">Report: </w:t>
      </w:r>
      <w:hyperlink r:id="rId20">
        <w:r>
          <w:rPr>
            <w:color w:val="285B9D"/>
            <w:u w:val="single"/>
            <w:rFonts w:eastAsia="Hiragino Sans GB" w:ascii="Calibri" w:hAnsi="Calibri"/>
          </w:rPr>
          <w:t>reports/archive-206f49c32091</w:t>
        </w:r>
      </w:hyperlink>
    </w:p>
    <w:p>
      <w:pPr>
        <w:spacing w:before="0" w:after="40" w:line="264" w:lineRule="auto"/>
      </w:pPr>
      <w:r>
        <w:rPr>
          <w:rFonts w:ascii="Calibri" w:hAnsi="Calibri" w:eastAsia="Hiragino Sans GB"/>
          <w:b/>
          <w:i w:val="0"/>
          <w:color w:val="0B2545"/>
          <w:sz w:val="23"/>
        </w:rPr>
        <w:t>4. AI电力设备超级周期下的铜与取向硅钢（GOES）供需缺口评估</w:t>
      </w:r>
    </w:p>
    <w:p>
      <w:pPr>
        <w:spacing w:before="0" w:after="40" w:line="264" w:lineRule="auto"/>
      </w:pPr>
      <w:r>
        <w:rPr>
          <w:rFonts w:ascii="Calibri" w:hAnsi="Calibri" w:eastAsia="Hiragino Sans GB"/>
          <w:b w:val="0"/>
          <w:i w:val="0"/>
          <w:color w:val="667085"/>
          <w:sz w:val="17"/>
        </w:rPr>
        <w:t>未识别 · 工业供给瓶颈 · score 52.5</w:t>
      </w:r>
    </w:p>
    <w:p>
      <w:pPr>
        <w:spacing w:before="0" w:after="100" w:line="264" w:lineRule="auto"/>
      </w:pPr>
      <w:r>
        <w:rPr>
          <w:rFonts w:ascii="Calibri" w:hAnsi="Calibri" w:eastAsia="Hiragino Sans GB"/>
          <w:b w:val="0"/>
          <w:i w:val="0"/>
          <w:color w:val="334155"/>
          <w:sz w:val="20"/>
        </w:rPr>
        <w:t>作者：材料行业分析师（materials-analyst） - 日期：2026-06-09（Asia/Singapore，机构基准工作日） - 立场：support（支持研究记录3关于变压器/开关柜超级周期的判断，并补充上游原材料约束维...</w:t>
      </w:r>
    </w:p>
    <w:p>
      <w:pPr>
        <w:spacing w:before="0" w:after="160" w:line="264" w:lineRule="auto"/>
      </w:pPr>
      <w:r>
        <w:rPr>
          <w:rFonts w:ascii="Calibri" w:hAnsi="Calibri" w:eastAsia="Hiragino Sans GB"/>
          <w:b w:val="0"/>
          <w:i w:val="0"/>
          <w:color w:val="667085"/>
          <w:sz w:val="17"/>
        </w:rPr>
        <w:t xml:space="preserve">Report: </w:t>
      </w:r>
      <w:hyperlink r:id="rId21">
        <w:r>
          <w:rPr>
            <w:color w:val="285B9D"/>
            <w:u w:val="single"/>
            <w:rFonts w:eastAsia="Hiragino Sans GB" w:ascii="Calibri" w:hAnsi="Calibri"/>
          </w:rPr>
          <w:t>reports/archive-5a2f1baa6b90</w:t>
        </w:r>
      </w:hyperlink>
    </w:p>
    <w:p>
      <w:pPr>
        <w:spacing w:before="0" w:after="40" w:line="264" w:lineRule="auto"/>
      </w:pPr>
      <w:r>
        <w:rPr>
          <w:rFonts w:ascii="Calibri" w:hAnsi="Calibri" w:eastAsia="Hiragino Sans GB"/>
          <w:b/>
          <w:i w:val="0"/>
          <w:color w:val="0B2545"/>
          <w:sz w:val="23"/>
        </w:rPr>
        <w:t>5. 高能效半导体架构与先进封装应对电网电力瓶颈的压力测试报告（2026–2027）</w:t>
      </w:r>
    </w:p>
    <w:p>
      <w:pPr>
        <w:spacing w:before="0" w:after="40" w:line="264" w:lineRule="auto"/>
      </w:pPr>
      <w:r>
        <w:rPr>
          <w:rFonts w:ascii="Calibri" w:hAnsi="Calibri" w:eastAsia="Hiragino Sans GB"/>
          <w:b w:val="0"/>
          <w:i w:val="0"/>
          <w:color w:val="667085"/>
          <w:sz w:val="17"/>
        </w:rPr>
        <w:t>未识别 · 电力与电网 · score 52.4</w:t>
      </w:r>
    </w:p>
    <w:p>
      <w:pPr>
        <w:spacing w:before="0" w:after="100" w:line="264" w:lineRule="auto"/>
      </w:pPr>
      <w:r>
        <w:rPr>
          <w:rFonts w:ascii="Calibri" w:hAnsi="Calibri" w:eastAsia="Hiragino Sans GB"/>
          <w:b w:val="0"/>
          <w:i w:val="0"/>
          <w:color w:val="334155"/>
          <w:sz w:val="20"/>
        </w:rPr>
        <w:t>高能效半导体架构与先进封装应对电网电力瓶颈的压力测试报告（2026–2027） 分析日期：2026-06-09 分析师：TMT行业分析师 (tmt) 当前定位：压力测试 (Stress-Test) Board ID : e7262d15-5b1b-40...</w:t>
      </w:r>
    </w:p>
    <w:p>
      <w:pPr>
        <w:spacing w:before="0" w:after="160" w:line="264" w:lineRule="auto"/>
      </w:pPr>
      <w:r>
        <w:rPr>
          <w:rFonts w:ascii="Calibri" w:hAnsi="Calibri" w:eastAsia="Hiragino Sans GB"/>
          <w:b w:val="0"/>
          <w:i w:val="0"/>
          <w:color w:val="667085"/>
          <w:sz w:val="17"/>
        </w:rPr>
        <w:t xml:space="preserve">Report: </w:t>
      </w:r>
      <w:hyperlink r:id="rId14">
        <w:r>
          <w:rPr>
            <w:color w:val="285B9D"/>
            <w:u w:val="single"/>
            <w:rFonts w:eastAsia="Hiragino Sans GB" w:ascii="Calibri" w:hAnsi="Calibri"/>
          </w:rPr>
          <w:t>reports/archive-69e3593d2d96</w:t>
        </w:r>
      </w:hyperlink>
    </w:p>
    <w:p>
      <w:pPr>
        <w:spacing w:before="0" w:after="40" w:line="264" w:lineRule="auto"/>
      </w:pPr>
      <w:r>
        <w:rPr>
          <w:rFonts w:ascii="Calibri" w:hAnsi="Calibri" w:eastAsia="Hiragino Sans GB"/>
          <w:b/>
          <w:i w:val="0"/>
          <w:color w:val="0B2545"/>
          <w:sz w:val="23"/>
        </w:rPr>
        <w:t>6. AI 电力需求激增是否会回吞硬件端的成本通缩？</w:t>
      </w:r>
    </w:p>
    <w:p>
      <w:pPr>
        <w:spacing w:before="0" w:after="40" w:line="264" w:lineRule="auto"/>
      </w:pPr>
      <w:r>
        <w:rPr>
          <w:rFonts w:ascii="Calibri" w:hAnsi="Calibri" w:eastAsia="Hiragino Sans GB"/>
          <w:b w:val="0"/>
          <w:i w:val="0"/>
          <w:color w:val="667085"/>
          <w:sz w:val="17"/>
        </w:rPr>
        <w:t>未识别 · AI 基础设施 · score 52.1</w:t>
      </w:r>
    </w:p>
    <w:p>
      <w:pPr>
        <w:spacing w:before="0" w:after="100" w:line="264" w:lineRule="auto"/>
      </w:pPr>
      <w:r>
        <w:rPr>
          <w:rFonts w:ascii="Calibri" w:hAnsi="Calibri" w:eastAsia="Hiragino Sans GB"/>
          <w:b w:val="0"/>
          <w:i w:val="0"/>
          <w:color w:val="334155"/>
          <w:sz w:val="20"/>
        </w:rPr>
        <w:t>研究记录 · 分析师： 能源行业分析师 · 立场： 压力测试（stress-test） 工作日期： 2026-06-09（亚洲/新加坡） · 根主题： DeepSeek-V4 推理通缩下 SaaS 及网安应用恶性价格战与 ARR/现金流...</w:t>
      </w:r>
    </w:p>
    <w:p>
      <w:pPr>
        <w:spacing w:before="0" w:after="160" w:line="264" w:lineRule="auto"/>
      </w:pPr>
      <w:r>
        <w:rPr>
          <w:rFonts w:ascii="Calibri" w:hAnsi="Calibri" w:eastAsia="Hiragino Sans GB"/>
          <w:b w:val="0"/>
          <w:i w:val="0"/>
          <w:color w:val="667085"/>
          <w:sz w:val="17"/>
        </w:rPr>
        <w:t xml:space="preserve">Report: </w:t>
      </w:r>
      <w:hyperlink r:id="rId22">
        <w:r>
          <w:rPr>
            <w:color w:val="285B9D"/>
            <w:u w:val="single"/>
            <w:rFonts w:eastAsia="Hiragino Sans GB" w:ascii="Calibri" w:hAnsi="Calibri"/>
          </w:rPr>
          <w:t>reports/archive-db684f9f9e1d</w:t>
        </w:r>
      </w:hyperlink>
    </w:p>
    <w:p>
      <w:pPr>
        <w:pStyle w:val="Heading1"/>
      </w:pPr>
      <w:r>
        <w:t>4. 重点跟踪事项</w:t>
      </w:r>
    </w:p>
    <w:p>
      <w:pPr>
        <w:spacing w:before="0" w:after="40" w:line="264" w:lineRule="auto"/>
      </w:pPr>
      <w:r>
        <w:rPr>
          <w:rFonts w:ascii="Calibri" w:hAnsi="Calibri" w:eastAsia="Hiragino Sans GB"/>
          <w:b/>
          <w:i w:val="0"/>
          <w:color w:val="0B2545"/>
          <w:sz w:val="22"/>
        </w:rPr>
        <w:t>AI数据中心的公用事业资本开支与电网并网瓶颈</w:t>
      </w:r>
    </w:p>
    <w:p>
      <w:pPr>
        <w:spacing w:before="0" w:after="60" w:line="264" w:lineRule="auto"/>
      </w:pPr>
      <w:r>
        <w:rPr>
          <w:rFonts w:ascii="Calibri" w:hAnsi="Calibri" w:eastAsia="Hiragino Sans GB"/>
          <w:b w:val="0"/>
          <w:i w:val="0"/>
          <w:color w:val="334155"/>
          <w:sz w:val="20"/>
        </w:rPr>
        <w:t>电力与电网，影响 5 / 概率 5</w:t>
      </w:r>
    </w:p>
    <w:p>
      <w:pPr>
        <w:spacing w:before="0" w:after="160" w:line="264" w:lineRule="auto"/>
      </w:pPr>
      <w:r>
        <w:rPr>
          <w:rFonts w:ascii="Calibri" w:hAnsi="Calibri" w:eastAsia="Hiragino Sans GB"/>
          <w:b w:val="0"/>
          <w:i w:val="0"/>
          <w:color w:val="667085"/>
          <w:sz w:val="17"/>
        </w:rPr>
        <w:t xml:space="preserve">Report: </w:t>
      </w:r>
      <w:hyperlink r:id="rId13">
        <w:r>
          <w:rPr>
            <w:color w:val="285B9D"/>
            <w:u w:val="single"/>
            <w:rFonts w:eastAsia="Hiragino Sans GB" w:ascii="Calibri" w:hAnsi="Calibri"/>
          </w:rPr>
          <w:t>reports/archive-33008c8f3e46</w:t>
        </w:r>
      </w:hyperlink>
    </w:p>
    <w:p>
      <w:pPr>
        <w:spacing w:before="0" w:after="40" w:line="264" w:lineRule="auto"/>
      </w:pPr>
      <w:r>
        <w:rPr>
          <w:rFonts w:ascii="Calibri" w:hAnsi="Calibri" w:eastAsia="Hiragino Sans GB"/>
          <w:b/>
          <w:i w:val="0"/>
          <w:color w:val="0B2545"/>
          <w:sz w:val="22"/>
        </w:rPr>
        <w:t>公用事业深度分析：电力设备供应链瓶颈与电网并网对 AI 数据中心的风险评估</w:t>
      </w:r>
    </w:p>
    <w:p>
      <w:pPr>
        <w:spacing w:before="0" w:after="60" w:line="264" w:lineRule="auto"/>
      </w:pPr>
      <w:r>
        <w:rPr>
          <w:rFonts w:ascii="Calibri" w:hAnsi="Calibri" w:eastAsia="Hiragino Sans GB"/>
          <w:b w:val="0"/>
          <w:i w:val="0"/>
          <w:color w:val="334155"/>
          <w:sz w:val="20"/>
        </w:rPr>
        <w:t>电力与电网，影响 5 / 概率 5</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reports/archive-1541cdac5ad4</w:t>
        </w:r>
      </w:hyperlink>
    </w:p>
    <w:p>
      <w:pPr>
        <w:spacing w:before="0" w:after="40" w:line="264" w:lineRule="auto"/>
      </w:pPr>
      <w:r>
        <w:rPr>
          <w:rFonts w:ascii="Calibri" w:hAnsi="Calibri" w:eastAsia="Hiragino Sans GB"/>
          <w:b/>
          <w:i w:val="0"/>
          <w:color w:val="0B2545"/>
          <w:sz w:val="22"/>
        </w:rPr>
        <w:t>科技巨头转向“电表后”直供电对公用事业盈利与 PPA 定价的重塑</w:t>
      </w:r>
    </w:p>
    <w:p>
      <w:pPr>
        <w:spacing w:before="0" w:after="60" w:line="264" w:lineRule="auto"/>
      </w:pPr>
      <w:r>
        <w:rPr>
          <w:rFonts w:ascii="Calibri" w:hAnsi="Calibri" w:eastAsia="Hiragino Sans GB"/>
          <w:b w:val="0"/>
          <w:i w:val="0"/>
          <w:color w:val="334155"/>
          <w:sz w:val="20"/>
        </w:rPr>
        <w:t>电力与电网，影响 5 / 概率 3</w:t>
      </w:r>
    </w:p>
    <w:p>
      <w:pPr>
        <w:spacing w:before="0" w:after="160" w:line="264" w:lineRule="auto"/>
      </w:pPr>
      <w:r>
        <w:rPr>
          <w:rFonts w:ascii="Calibri" w:hAnsi="Calibri" w:eastAsia="Hiragino Sans GB"/>
          <w:b w:val="0"/>
          <w:i w:val="0"/>
          <w:color w:val="667085"/>
          <w:sz w:val="17"/>
        </w:rPr>
        <w:t xml:space="preserve">Report: </w:t>
      </w:r>
      <w:hyperlink r:id="rId23">
        <w:r>
          <w:rPr>
            <w:color w:val="285B9D"/>
            <w:u w:val="single"/>
            <w:rFonts w:eastAsia="Hiragino Sans GB" w:ascii="Calibri" w:hAnsi="Calibri"/>
          </w:rPr>
          <w:t>reports/archive-fd770419e7fc</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iragino Sans GB"/>
                <w:b/>
                <w:color w:val="475569"/>
                <w:sz w:val="18"/>
              </w:rPr>
              <w:t>报告</w:t>
            </w:r>
          </w:p>
        </w:tc>
        <w:tc>
          <w:tcPr>
            <w:tcW w:type="dxa" w:w="1560"/>
            <w:vAlign w:val="center"/>
            <w:shd w:fill="F2F4F7"/>
          </w:tcPr>
          <w:p>
            <w:pPr>
              <w:spacing w:before="0" w:after="0"/>
              <w:jc w:val="center"/>
            </w:pPr>
            <w:r/>
            <w:r>
              <w:rPr>
                <w:rFonts w:ascii="Calibri" w:hAnsi="Calibri" w:eastAsia="Hiragino Sans GB"/>
                <w:b/>
                <w:color w:val="475569"/>
                <w:sz w:val="18"/>
              </w:rPr>
              <w:t>分析师</w:t>
            </w:r>
          </w:p>
        </w:tc>
        <w:tc>
          <w:tcPr>
            <w:tcW w:type="dxa" w:w="1680"/>
            <w:vAlign w:val="center"/>
            <w:shd w:fill="F2F4F7"/>
          </w:tcPr>
          <w:p>
            <w:pPr>
              <w:spacing w:before="0" w:after="0"/>
              <w:jc w:val="center"/>
            </w:pPr>
            <w:r/>
            <w:r>
              <w:rPr>
                <w:rFonts w:ascii="Calibri" w:hAnsi="Calibri" w:eastAsia="Hiragino Sans GB"/>
                <w:b/>
                <w:color w:val="475569"/>
                <w:sz w:val="18"/>
              </w:rPr>
              <w:t>行业链</w:t>
            </w:r>
          </w:p>
        </w:tc>
        <w:tc>
          <w:tcPr>
            <w:tcW w:type="dxa" w:w="900"/>
            <w:vAlign w:val="center"/>
            <w:shd w:fill="F2F4F7"/>
          </w:tcPr>
          <w:p>
            <w:pPr>
              <w:spacing w:before="0" w:after="0"/>
              <w:jc w:val="center"/>
            </w:pPr>
            <w:r/>
            <w:r>
              <w:rPr>
                <w:rFonts w:ascii="Calibri" w:hAnsi="Calibri" w:eastAsia="Hiragino Sans GB"/>
                <w:b/>
                <w:color w:val="475569"/>
                <w:sz w:val="18"/>
              </w:rPr>
              <w:t>评分</w:t>
            </w:r>
          </w:p>
        </w:tc>
        <w:tc>
          <w:tcPr>
            <w:tcW w:type="dxa" w:w="1500"/>
            <w:vAlign w:val="center"/>
            <w:shd w:fill="F2F4F7"/>
          </w:tcPr>
          <w:p>
            <w:pPr>
              <w:spacing w:before="0" w:after="0"/>
              <w:jc w:val="center"/>
            </w:pPr>
            <w:r/>
            <w:r>
              <w:rPr>
                <w:rFonts w:ascii="Calibri" w:hAnsi="Calibri" w:eastAsia="Hiragino Sans GB"/>
                <w:b/>
                <w:color w:val="475569"/>
                <w:sz w:val="18"/>
              </w:rPr>
              <w:t>风险</w:t>
            </w:r>
          </w:p>
        </w:tc>
      </w:tr>
      <w:tr>
        <w:tc>
          <w:tcPr>
            <w:tcW w:type="dxa" w:w="3720"/>
            <w:vAlign w:val="center"/>
          </w:tcPr>
          <w:p>
            <w:pPr>
              <w:spacing w:before="0" w:after="0"/>
            </w:pPr>
            <w:r/>
            <w:r>
              <w:rPr>
                <w:rFonts w:ascii="Calibri" w:hAnsi="Calibri" w:eastAsia="Hiragino Sans GB"/>
                <w:b w:val="0"/>
                <w:color w:val="111827"/>
                <w:sz w:val="17"/>
              </w:rPr>
              <w:t>公用事业深度分析：电力设备供应链瓶颈与电网并网对 AI 数据中心的风险评估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57.0</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AI硬件兑现的能源瓶颈压力测试 — 2026-06-09</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55.2</w:t>
            </w:r>
          </w:p>
        </w:tc>
        <w:tc>
          <w:tcPr>
            <w:tcW w:type="dxa" w:w="1500"/>
            <w:vAlign w:val="center"/>
          </w:tcPr>
          <w:p>
            <w:pPr>
              <w:spacing w:before="0" w:after="0"/>
              <w:jc w:val="center"/>
            </w:pPr>
            <w:r/>
            <w:r>
              <w:rPr>
                <w:rFonts w:ascii="Calibri" w:hAnsi="Calibri" w:eastAsia="Hiragino Sans GB"/>
                <w:b w:val="0"/>
                <w:color w:val="111827"/>
                <w:sz w:val="16"/>
              </w:rPr>
              <w:t>风险 4</w:t>
            </w:r>
          </w:p>
        </w:tc>
      </w:tr>
      <w:tr>
        <w:tc>
          <w:tcPr>
            <w:tcW w:type="dxa" w:w="3720"/>
            <w:vAlign w:val="center"/>
          </w:tcPr>
          <w:p>
            <w:pPr>
              <w:spacing w:before="0" w:after="0"/>
            </w:pPr>
            <w:r/>
            <w:r>
              <w:rPr>
                <w:rFonts w:ascii="Calibri" w:hAnsi="Calibri" w:eastAsia="Hiragino Sans GB"/>
                <w:b w:val="0"/>
                <w:color w:val="111827"/>
                <w:sz w:val="17"/>
              </w:rPr>
              <w:t>截至2026-06-09的公用事业与电网设备筛选</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53.4</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AI电力设备超级周期下的铜与取向硅钢（GOES）供需缺口评估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52.5</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高能效半导体架构与先进封装应对电网电力瓶颈的压力测试报告（2026–2027）</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52.4</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 电力需求激增是否会回吞硬件端的成本通缩？</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52.1</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电力设备与电网组件的物理交期压力测试：谁控制着 AI 的“通电闸门”？</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51.7</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全球宏观电网资本开支、电价差异与产业竞争力，2026-06-09</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51.4</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核心结论 / Core Thesis</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半导体与存储</w:t>
            </w:r>
          </w:p>
        </w:tc>
        <w:tc>
          <w:tcPr>
            <w:tcW w:type="dxa" w:w="900"/>
            <w:vAlign w:val="center"/>
          </w:tcPr>
          <w:p>
            <w:pPr>
              <w:spacing w:before="0" w:after="0"/>
              <w:jc w:val="center"/>
            </w:pPr>
            <w:r/>
            <w:r>
              <w:rPr>
                <w:rFonts w:ascii="Calibri" w:hAnsi="Calibri" w:eastAsia="Hiragino Sans GB"/>
                <w:b/>
                <w:color w:val="111827"/>
                <w:sz w:val="17"/>
              </w:rPr>
              <w:t>50.4</w:t>
            </w:r>
          </w:p>
        </w:tc>
        <w:tc>
          <w:tcPr>
            <w:tcW w:type="dxa" w:w="1500"/>
            <w:vAlign w:val="center"/>
          </w:tcPr>
          <w:p>
            <w:pPr>
              <w:spacing w:before="0" w:after="0"/>
              <w:jc w:val="center"/>
            </w:pPr>
            <w:r/>
            <w:r>
              <w:rPr>
                <w:rFonts w:ascii="Calibri" w:hAnsi="Calibri" w:eastAsia="Hiragino Sans GB"/>
                <w:b w:val="0"/>
                <w:color w:val="111827"/>
                <w:sz w:val="16"/>
              </w:rPr>
              <w:t>常规</w:t>
            </w:r>
          </w:p>
        </w:tc>
      </w:tr>
      <w:tr>
        <w:tc>
          <w:tcPr>
            <w:tcW w:type="dxa" w:w="3720"/>
            <w:vAlign w:val="center"/>
          </w:tcPr>
          <w:p>
            <w:pPr>
              <w:spacing w:before="0" w:after="0"/>
            </w:pPr>
            <w:r/>
            <w:r>
              <w:rPr>
                <w:rFonts w:ascii="Calibri" w:hAnsi="Calibri" w:eastAsia="Hiragino Sans GB"/>
                <w:b w:val="0"/>
                <w:color w:val="111827"/>
                <w:sz w:val="17"/>
              </w:rPr>
              <w:t>GOES/铜价压力下的特变电工、中国西电毛利率与估值安全边际</w:t>
            </w:r>
          </w:p>
        </w:tc>
        <w:tc>
          <w:tcPr>
            <w:tcW w:type="dxa" w:w="1560"/>
            <w:vAlign w:val="center"/>
          </w:tcPr>
          <w:p>
            <w:pPr>
              <w:spacing w:before="0" w:after="0"/>
            </w:pPr>
            <w:r/>
            <w:r>
              <w:rPr>
                <w:rFonts w:ascii="Calibri" w:hAnsi="Calibri" w:eastAsia="Hiragino Sans GB"/>
                <w:b w:val="0"/>
                <w:color w:val="111827"/>
                <w:sz w:val="16"/>
              </w:rPr>
              <w:t>公用事业分析师</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50.4</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大类资产配置AI算力拥挤交易与电力基础设施轮动（2026-06-09）</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49.8</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AI 数据中心“电表后”通电路径的现实检验：核电受阻与天然气的短期妥协</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46.5</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AI硬件毛利率压力测试：资本挤占与电网物理红线的双重约束</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46.0</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AI电力基础设施超级周期的尾部风险与宏观流动性压力测试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45.9</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 算力扩张对电力负荷与能源供应的压力测试报告</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45.9</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AI电力需求驱动下的工业电气设备与电网基础设施重估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45.2</w:t>
            </w:r>
          </w:p>
        </w:tc>
        <w:tc>
          <w:tcPr>
            <w:tcW w:type="dxa" w:w="1500"/>
            <w:vAlign w:val="center"/>
          </w:tcPr>
          <w:p>
            <w:pPr>
              <w:spacing w:before="0" w:after="0"/>
              <w:jc w:val="center"/>
            </w:pPr>
            <w:r/>
            <w:r>
              <w:rPr>
                <w:rFonts w:ascii="Calibri" w:hAnsi="Calibri" w:eastAsia="Hiragino Sans GB"/>
                <w:b w:val="0"/>
                <w:color w:val="111827"/>
                <w:sz w:val="16"/>
              </w:rPr>
              <w:t>常规</w:t>
            </w:r>
          </w:p>
        </w:tc>
      </w:tr>
      <w:tr>
        <w:tc>
          <w:tcPr>
            <w:tcW w:type="dxa" w:w="3720"/>
            <w:vAlign w:val="center"/>
          </w:tcPr>
          <w:p>
            <w:pPr>
              <w:spacing w:before="0" w:after="0"/>
            </w:pPr>
            <w:r/>
            <w:r>
              <w:rPr>
                <w:rFonts w:ascii="Calibri" w:hAnsi="Calibri" w:eastAsia="Hiragino Sans GB"/>
                <w:b w:val="0"/>
                <w:color w:val="111827"/>
                <w:sz w:val="17"/>
              </w:rPr>
              <w:t>先进封装设备禁令与产能受限对中国AI算力基建及数字经济增长的宏观影响评估</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45.1</w:t>
            </w:r>
          </w:p>
        </w:tc>
        <w:tc>
          <w:tcPr>
            <w:tcW w:type="dxa" w:w="1500"/>
            <w:vAlign w:val="center"/>
          </w:tcPr>
          <w:p>
            <w:pPr>
              <w:spacing w:before="0" w:after="0"/>
              <w:jc w:val="center"/>
            </w:pPr>
            <w:r/>
            <w:r>
              <w:rPr>
                <w:rFonts w:ascii="Calibri" w:hAnsi="Calibri" w:eastAsia="Hiragino Sans GB"/>
                <w:b w:val="0"/>
                <w:color w:val="111827"/>
                <w:sz w:val="16"/>
              </w:rPr>
              <w:t>常规</w:t>
            </w:r>
          </w:p>
        </w:tc>
      </w:tr>
      <w:tr>
        <w:tc>
          <w:tcPr>
            <w:tcW w:type="dxa" w:w="3720"/>
            <w:vAlign w:val="center"/>
          </w:tcPr>
          <w:p>
            <w:pPr>
              <w:spacing w:before="0" w:after="0"/>
            </w:pPr>
            <w:r/>
            <w:r>
              <w:rPr>
                <w:rFonts w:ascii="Calibri" w:hAnsi="Calibri" w:eastAsia="Hiragino Sans GB"/>
                <w:b w:val="0"/>
                <w:color w:val="111827"/>
                <w:sz w:val="17"/>
              </w:rPr>
              <w:t>AI 算力基础设施成本通缩：硬件驱动力与经济模型分析</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45.1</w:t>
            </w:r>
          </w:p>
        </w:tc>
        <w:tc>
          <w:tcPr>
            <w:tcW w:type="dxa" w:w="1500"/>
            <w:vAlign w:val="center"/>
          </w:tcPr>
          <w:p>
            <w:pPr>
              <w:spacing w:before="0" w:after="0"/>
              <w:jc w:val="center"/>
            </w:pPr>
            <w:r/>
            <w:r>
              <w:rPr>
                <w:rFonts w:ascii="Calibri" w:hAnsi="Calibri" w:eastAsia="Hiragino Sans GB"/>
                <w:b w:val="0"/>
                <w:color w:val="111827"/>
                <w:sz w:val="16"/>
              </w:rPr>
              <w:t>常规</w:t>
            </w:r>
          </w:p>
        </w:tc>
      </w:tr>
    </w:tbl>
    <w:p>
      <w:pPr>
        <w:spacing w:before="0" w:after="160" w:line="264" w:lineRule="auto"/>
      </w:pPr>
      <w:r>
        <w:rPr>
          <w:rFonts w:ascii="Calibri" w:hAnsi="Calibri" w:eastAsia="Hiragino Sans GB"/>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iragino Sans GB"/>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iragino Sans GB"/>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iragino Sans GB"/>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iragino Sans GB"/>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1541cdac5ad4" TargetMode="External"/><Relationship Id="rId13" Type="http://schemas.openxmlformats.org/officeDocument/2006/relationships/hyperlink" Target="reports/archive-33008c8f3e46" TargetMode="External"/><Relationship Id="rId14" Type="http://schemas.openxmlformats.org/officeDocument/2006/relationships/hyperlink" Target="reports/archive-69e3593d2d96"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76f1d07f82d3" TargetMode="External"/><Relationship Id="rId20" Type="http://schemas.openxmlformats.org/officeDocument/2006/relationships/hyperlink" Target="reports/archive-206f49c32091" TargetMode="External"/><Relationship Id="rId21" Type="http://schemas.openxmlformats.org/officeDocument/2006/relationships/hyperlink" Target="reports/archive-5a2f1baa6b90" TargetMode="External"/><Relationship Id="rId22" Type="http://schemas.openxmlformats.org/officeDocument/2006/relationships/hyperlink" Target="reports/archive-db684f9f9e1d" TargetMode="External"/><Relationship Id="rId23" Type="http://schemas.openxmlformats.org/officeDocument/2006/relationships/hyperlink" Target="reports/archive-fd770419e7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2026-06-09</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