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2026-W28 AI Institute 周度投资研究全景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2026-W28</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2026-07-06 → 2026-07-12</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12</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50</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本周的核心不是追逐研究热度，而是把 AI 电力/电网设备 与 A股半导体/两融负 Gamma 拆成可执行、可证伪的赛道和标的判断。</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美国电力设备对华关税与反规避路径对A股变压器出海链的证伪风险，2026-07-12 与 A股市场结构验证：北向成交、融资余额与质量红利拥挤度 构成本周最强的证据主轴，而 AI数据中心电网与电力供应瓶颈的结构性制约 提供了必要的反向约束。公开研究合约显示，优先级正在从宽泛主题向可交付、可验证的产业链环节集中；组合层面应先读取 HOLD A股红利/硬科技杠铃、HOLD Mag7 AI 平台再分层、HOLD AI 再通胀/利率敏感资产，再用后续订单、交付、政策与市场数据确认。这是首个有持久化证据账本的周度基线版，暂不伪造环比变化。</w:t>
      </w:r>
    </w:p>
    <w:p>
      <w:pPr>
        <w:keepLines/>
      </w:pPr>
      <w:r>
        <w:rPr>
          <w:rFonts w:ascii="Calibri" w:hAnsi="Calibri" w:eastAsia="Hiragino Sans GB"/>
          <w:b w:val="0"/>
          <w:color w:val="5E6268"/>
          <w:sz w:val="22"/>
        </w:rPr>
        <w:t>周报的价值不在于给出更多观点，而在于留下可复查的决策、证据和证伪条件。下一周若触发器没有出现，应降低置信度，而不是用新的叙事延长旧判断。</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2026-07-12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2026-07-12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2026-07-12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信创/国产 IT 栈</w:t>
              </w:r>
            </w:hyperlink>
            <w:r>
              <w:rPr>
                <w:rFonts w:ascii="Calibri" w:hAnsi="Calibri" w:eastAsia="Hiragino Sans GB"/>
                <w:color w:val="5E6268"/>
                <w:sz w:val="15"/>
              </w:rPr>
              <w:br/>
              <w:t>lane · 2026-07-12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A股硬科技/科创50</w:t>
              </w:r>
            </w:hyperlink>
            <w:r>
              <w:rPr>
                <w:rFonts w:ascii="Calibri" w:hAnsi="Calibri" w:eastAsia="Hiragino Sans GB"/>
                <w:color w:val="5E6268"/>
                <w:sz w:val="15"/>
              </w:rPr>
              <w:br/>
              <w:t>lane · 2026-07-12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HOLD A股红利/硬科技杠铃：A 股红利与硬科技杠铃仍是政策、利率和风险偏好的组合表达</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A股红利/硬科技杠铃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20">
        <w:r>
          <w:rPr>
            <w:color w:val="1D5FD1"/>
            <w:u w:val="single"/>
            <w:sz w:val="17"/>
            <w:szCs w:val="17"/>
            <w:rFonts w:ascii="Calibri" w:hAnsi="Calibri" w:eastAsia="Hiragino Sans GB"/>
          </w:rPr>
          <w:t>对应 Thesis</w:t>
        </w:r>
      </w:hyperlink>
    </w:p>
    <w:p>
      <w:pPr>
        <w:pStyle w:val="Heading2"/>
        <w:keepNext/>
      </w:pPr>
      <w:r>
        <w:t>02 · HOLD Mag7 AI 平台再分层：Mag7 在 AI 时代从平台垄断转向基础设施再分层</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Mag7 AI 平台再分层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2">
        <w:r>
          <w:rPr>
            <w:color w:val="1D5FD1"/>
            <w:u w:val="single"/>
            <w:sz w:val="17"/>
            <w:szCs w:val="17"/>
            <w:rFonts w:ascii="Calibri" w:hAnsi="Calibri" w:eastAsia="Hiragino Sans GB"/>
          </w:rPr>
          <w:t>对应 Thesis</w:t>
        </w:r>
      </w:hyperlink>
    </w:p>
    <w:p>
      <w:pPr>
        <w:pStyle w:val="Heading2"/>
        <w:keepNext/>
      </w:pPr>
      <w:r>
        <w:t>03 · HOLD AI 再通胀/利率敏感资产：AI 资本开支通过能源、设备和利率进入通胀定价</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再通胀/利率敏感资产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3">
        <w:r>
          <w:rPr>
            <w:color w:val="1D5FD1"/>
            <w:u w:val="single"/>
            <w:sz w:val="17"/>
            <w:szCs w:val="17"/>
            <w:rFonts w:ascii="Calibri" w:hAnsi="Calibri" w:eastAsia="Hiragino Sans GB"/>
          </w:rPr>
          <w:t>对应 Thesis</w:t>
        </w:r>
      </w:hyperlink>
    </w:p>
    <w:p>
      <w:pPr>
        <w:pStyle w:val="Heading2"/>
        <w:keepNext/>
      </w:pPr>
      <w:r>
        <w:t>04 · HOLD 信创/国产 IT 栈：新一代信息技术国产替代要从信创叙事进入算力、软件与安全订单验证</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信创/国产 IT 栈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4">
        <w:r>
          <w:rPr>
            <w:color w:val="1D5FD1"/>
            <w:u w:val="single"/>
            <w:sz w:val="17"/>
            <w:szCs w:val="17"/>
            <w:rFonts w:ascii="Calibri" w:hAnsi="Calibri" w:eastAsia="Hiragino Sans GB"/>
          </w:rPr>
          <w:t>R1</w:t>
        </w:r>
      </w:hyperlink>
      <w:r>
        <w:t xml:space="preserve"> · </w:t>
      </w:r>
      <w:hyperlink r:id="rId25">
        <w:r>
          <w:rPr>
            <w:color w:val="1D5FD1"/>
            <w:u w:val="single"/>
            <w:sz w:val="17"/>
            <w:szCs w:val="17"/>
            <w:rFonts w:ascii="Calibri" w:hAnsi="Calibri" w:eastAsia="Hiragino Sans GB"/>
          </w:rPr>
          <w:t>R2</w:t>
        </w:r>
      </w:hyperlink>
      <w:r>
        <w:t xml:space="preserve"> · </w:t>
      </w:r>
      <w:hyperlink r:id="rId26">
        <w:r>
          <w:rPr>
            <w:color w:val="1D5FD1"/>
            <w:u w:val="single"/>
            <w:sz w:val="17"/>
            <w:szCs w:val="17"/>
            <w:rFonts w:ascii="Calibri" w:hAnsi="Calibri" w:eastAsia="Hiragino Sans GB"/>
          </w:rPr>
          <w:t>R3</w:t>
        </w:r>
      </w:hyperlink>
      <w:r>
        <w:t xml:space="preserve"> · </w:t>
      </w:r>
      <w:hyperlink r:id="rId27">
        <w:r>
          <w:rPr>
            <w:color w:val="1D5FD1"/>
            <w:u w:val="single"/>
            <w:sz w:val="17"/>
            <w:szCs w:val="17"/>
            <w:rFonts w:ascii="Calibri" w:hAnsi="Calibri" w:eastAsia="Hiragino Sans GB"/>
          </w:rPr>
          <w:t>对应 Thesis</w:t>
        </w:r>
      </w:hyperlink>
    </w:p>
    <w:p>
      <w:pPr>
        <w:pStyle w:val="Heading2"/>
        <w:keepNext/>
      </w:pPr>
      <w:r>
        <w:t>05 · HOLD A股硬科技/科创50：A 股硬科技与科创50的复苏需要订单、融资盘和指数结构共振</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A股硬科技/科创50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28">
        <w:r>
          <w:rPr>
            <w:color w:val="1D5FD1"/>
            <w:u w:val="single"/>
            <w:sz w:val="17"/>
            <w:szCs w:val="17"/>
            <w:rFonts w:ascii="Calibri" w:hAnsi="Calibri" w:eastAsia="Hiragino Sans GB"/>
          </w:rPr>
          <w:t>R2</w:t>
        </w:r>
      </w:hyperlink>
      <w:r>
        <w:t xml:space="preserve"> · </w:t>
      </w:r>
      <w:hyperlink r:id="rId29">
        <w:r>
          <w:rPr>
            <w:color w:val="1D5FD1"/>
            <w:u w:val="single"/>
            <w:sz w:val="17"/>
            <w:szCs w:val="17"/>
            <w:rFonts w:ascii="Calibri" w:hAnsi="Calibri" w:eastAsia="Hiragino Sans GB"/>
          </w:rPr>
          <w:t>R3</w:t>
        </w:r>
      </w:hyperlink>
      <w:r>
        <w:t xml:space="preserve"> · </w:t>
      </w:r>
      <w:hyperlink r:id="rId30">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主线进一步集中到 A股红利/硬科技杠铃</w:t>
      </w:r>
    </w:p>
    <w:p>
      <w:pPr>
        <w:keepLines w:val="0"/>
      </w:pPr>
      <w:r>
        <w:rPr>
          <w:rFonts w:ascii="Calibri" w:hAnsi="Calibri" w:eastAsia="Hiragino Sans GB"/>
          <w:b w:val="0"/>
          <w:color w:val="111111"/>
          <w:sz w:val="22"/>
        </w:rPr>
        <w:t>赛道：A股红利/硬科技杠铃。候选观察标的：510880.SH, 601398.SH, 600900.SH, 601088.SH, 600941.SH, 588000.SH, 688981.SH。当前共有 40 条证据、2 位分析师和 5 条风险信号指向该判断；主导链条为 宏观通胀传导。该主题应作为可跟踪投资假设，而不是孤立结论。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31">
        <w:r>
          <w:rPr>
            <w:color w:val="1D5FD1"/>
            <w:u w:val="single"/>
            <w:sz w:val="17"/>
            <w:szCs w:val="17"/>
            <w:rFonts w:ascii="Calibri" w:hAnsi="Calibri" w:eastAsia="Hiragino Sans GB"/>
          </w:rPr>
          <w:t>600900.SH</w:t>
        </w:r>
      </w:hyperlink>
      <w:r>
        <w:t xml:space="preserve"> · </w:t>
      </w:r>
      <w:hyperlink r:id="rId32">
        <w:r>
          <w:rPr>
            <w:color w:val="1D5FD1"/>
            <w:u w:val="single"/>
            <w:sz w:val="17"/>
            <w:szCs w:val="17"/>
            <w:rFonts w:ascii="Calibri" w:hAnsi="Calibri" w:eastAsia="Hiragino Sans GB"/>
          </w:rPr>
          <w:t>601088.SH</w:t>
        </w:r>
      </w:hyperlink>
      <w:r>
        <w:t xml:space="preserve"> · </w:t>
      </w:r>
      <w:hyperlink r:id="rId33">
        <w:r>
          <w:rPr>
            <w:color w:val="1D5FD1"/>
            <w:u w:val="single"/>
            <w:sz w:val="17"/>
            <w:szCs w:val="17"/>
            <w:rFonts w:ascii="Calibri" w:hAnsi="Calibri" w:eastAsia="Hiragino Sans GB"/>
          </w:rPr>
          <w:t>601398.SH</w:t>
        </w:r>
      </w:hyperlink>
      <w:r>
        <w:t xml:space="preserve"> · </w:t>
      </w:r>
      <w:hyperlink r:id="rId34">
        <w:r>
          <w:rPr>
            <w:color w:val="1D5FD1"/>
            <w:u w:val="single"/>
            <w:sz w:val="17"/>
            <w:szCs w:val="17"/>
            <w:rFonts w:ascii="Calibri" w:hAnsi="Calibri" w:eastAsia="Hiragino Sans GB"/>
          </w:rPr>
          <w:t>600941.SH</w:t>
        </w:r>
      </w:hyperlink>
      <w:r>
        <w:t xml:space="preserve"> · </w:t>
      </w:r>
      <w:hyperlink r:id="rId35">
        <w:r>
          <w:rPr>
            <w:color w:val="1D5FD1"/>
            <w:u w:val="single"/>
            <w:sz w:val="17"/>
            <w:szCs w:val="17"/>
            <w:rFonts w:ascii="Calibri" w:hAnsi="Calibri" w:eastAsia="Hiragino Sans GB"/>
          </w:rPr>
          <w:t>688981.SH</w:t>
        </w:r>
      </w:hyperlink>
      <w:r>
        <w:t xml:space="preserve"> · </w:t>
      </w:r>
      <w:hyperlink r:id="rId36">
        <w:r>
          <w:rPr>
            <w:color w:val="1D5FD1"/>
            <w:u w:val="single"/>
            <w:sz w:val="17"/>
            <w:szCs w:val="17"/>
            <w:rFonts w:ascii="Calibri" w:hAnsi="Calibri" w:eastAsia="Hiragino Sans GB"/>
          </w:rPr>
          <w:t>588000.SH</w:t>
        </w:r>
      </w:hyperlink>
    </w:p>
    <w:p>
      <w:pPr>
        <w:keepNext/>
      </w:pPr>
      <w:r>
        <w:rPr>
          <w:rFonts w:ascii="Calibri" w:hAnsi="Calibri" w:eastAsia="Hiragino Sans GB"/>
          <w:b/>
          <w:color w:val="D85B16"/>
          <w:sz w:val="18"/>
        </w:rPr>
        <w:t xml:space="preserve">02  SPLIT  </w:t>
      </w:r>
      <w:r>
        <w:rPr>
          <w:rFonts w:ascii="Calibri" w:hAnsi="Calibri" w:eastAsia="Hiragino Sans GB"/>
          <w:b/>
          <w:color w:val="111111"/>
          <w:sz w:val="22"/>
        </w:rPr>
        <w:t>Mag7 在 AI 时代从平台垄断转向基础设施再分层 的本周证据更新</w:t>
      </w:r>
    </w:p>
    <w:p>
      <w:pPr>
        <w:keepLines w:val="0"/>
      </w:pPr>
      <w:r>
        <w:rPr>
          <w:rFonts w:ascii="Calibri" w:hAnsi="Calibri" w:eastAsia="Hiragino Sans GB"/>
          <w:b w:val="0"/>
          <w:color w:val="111111"/>
          <w:sz w:val="22"/>
        </w:rPr>
        <w:t>赛道：Mag7 AI 平台再分层。候选观察标的：MSFT, AAPL, TSLA, META, AMZN, GOOGL, NVDA。当前共有 40 条证据、5 位分析师和 8 条风险信号指向该判断；主导链条为 AI 基础设施。该主题应作为可跟踪投资假设，而不是孤立结论。 本周新增 8 条主线事件，其中支持 6 条、风险 2 条；当前组合含义是 先放入观察池，只在证据密度和价格确认同时改善时进入组合。</w:t>
      </w:r>
    </w:p>
    <w:p>
      <w:pPr>
        <w:pStyle w:val="TableCitation"/>
      </w:pPr>
      <w:r>
        <w:t>关联标的：</w:t>
      </w:r>
      <w:hyperlink r:id="rId37">
        <w:r>
          <w:rPr>
            <w:color w:val="1D5FD1"/>
            <w:u w:val="single"/>
            <w:sz w:val="17"/>
            <w:szCs w:val="17"/>
            <w:rFonts w:ascii="Calibri" w:hAnsi="Calibri" w:eastAsia="Hiragino Sans GB"/>
          </w:rPr>
          <w:t>META</w:t>
        </w:r>
      </w:hyperlink>
      <w:r>
        <w:t xml:space="preserve"> · </w:t>
      </w:r>
      <w:hyperlink r:id="rId38">
        <w:r>
          <w:rPr>
            <w:color w:val="1D5FD1"/>
            <w:u w:val="single"/>
            <w:sz w:val="17"/>
            <w:szCs w:val="17"/>
            <w:rFonts w:ascii="Calibri" w:hAnsi="Calibri" w:eastAsia="Hiragino Sans GB"/>
          </w:rPr>
          <w:t>MSFT</w:t>
        </w:r>
      </w:hyperlink>
      <w:r>
        <w:t xml:space="preserve"> · </w:t>
      </w:r>
      <w:hyperlink r:id="rId39">
        <w:r>
          <w:rPr>
            <w:color w:val="1D5FD1"/>
            <w:u w:val="single"/>
            <w:sz w:val="17"/>
            <w:szCs w:val="17"/>
            <w:rFonts w:ascii="Calibri" w:hAnsi="Calibri" w:eastAsia="Hiragino Sans GB"/>
          </w:rPr>
          <w:t>NVDA</w:t>
        </w:r>
      </w:hyperlink>
      <w:r>
        <w:t xml:space="preserve"> · </w:t>
      </w:r>
      <w:hyperlink r:id="rId40">
        <w:r>
          <w:rPr>
            <w:color w:val="1D5FD1"/>
            <w:u w:val="single"/>
            <w:sz w:val="17"/>
            <w:szCs w:val="17"/>
            <w:rFonts w:ascii="Calibri" w:hAnsi="Calibri" w:eastAsia="Hiragino Sans GB"/>
          </w:rPr>
          <w:t>AMZN</w:t>
        </w:r>
      </w:hyperlink>
      <w:r>
        <w:t xml:space="preserve"> · </w:t>
      </w:r>
      <w:hyperlink r:id="rId41">
        <w:r>
          <w:rPr>
            <w:color w:val="1D5FD1"/>
            <w:u w:val="single"/>
            <w:sz w:val="17"/>
            <w:szCs w:val="17"/>
            <w:rFonts w:ascii="Calibri" w:hAnsi="Calibri" w:eastAsia="Hiragino Sans GB"/>
          </w:rPr>
          <w:t>GOOGL</w:t>
        </w:r>
      </w:hyperlink>
      <w:r>
        <w:t xml:space="preserve"> · </w:t>
      </w:r>
      <w:hyperlink r:id="rId42">
        <w:r>
          <w:rPr>
            <w:color w:val="1D5FD1"/>
            <w:u w:val="single"/>
            <w:sz w:val="17"/>
            <w:szCs w:val="17"/>
            <w:rFonts w:ascii="Calibri" w:hAnsi="Calibri" w:eastAsia="Hiragino Sans GB"/>
          </w:rPr>
          <w:t>TSM</w:t>
        </w:r>
      </w:hyperlink>
    </w:p>
    <w:p>
      <w:pPr>
        <w:keepNext/>
      </w:pPr>
      <w:r>
        <w:rPr>
          <w:rFonts w:ascii="Calibri" w:hAnsi="Calibri" w:eastAsia="Hiragino Sans GB"/>
          <w:b/>
          <w:color w:val="D85B16"/>
          <w:sz w:val="18"/>
        </w:rPr>
        <w:t xml:space="preserve">03  SPLIT  </w:t>
      </w:r>
      <w:r>
        <w:rPr>
          <w:rFonts w:ascii="Calibri" w:hAnsi="Calibri" w:eastAsia="Hiragino Sans GB"/>
          <w:b/>
          <w:color w:val="111111"/>
          <w:sz w:val="22"/>
        </w:rPr>
        <w:t>AI 资本开支通过能源、设备和利率进入通胀定价 的本周证据更新</w:t>
      </w:r>
    </w:p>
    <w:p>
      <w:pPr>
        <w:keepLines w:val="0"/>
      </w:pPr>
      <w:r>
        <w:rPr>
          <w:rFonts w:ascii="Calibri" w:hAnsi="Calibri" w:eastAsia="Hiragino Sans GB"/>
          <w:b w:val="0"/>
          <w:color w:val="111111"/>
          <w:sz w:val="22"/>
        </w:rPr>
        <w:t>赛道：AI 再通胀/利率敏感资产。候选观察标的：XLE, XLU, TLT, GLD, JPM, NEE。当前共有 40 条证据、3 位分析师和 8 条风险信号指向该判断；主导链条为 宏观通胀传导。该主题应作为可跟踪投资假设，而不是孤立结论。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37">
        <w:r>
          <w:rPr>
            <w:color w:val="1D5FD1"/>
            <w:u w:val="single"/>
            <w:sz w:val="17"/>
            <w:szCs w:val="17"/>
            <w:rFonts w:ascii="Calibri" w:hAnsi="Calibri" w:eastAsia="Hiragino Sans GB"/>
          </w:rPr>
          <w:t>META</w:t>
        </w:r>
      </w:hyperlink>
      <w:r>
        <w:t xml:space="preserve"> · </w:t>
      </w:r>
      <w:hyperlink r:id="rId38">
        <w:r>
          <w:rPr>
            <w:color w:val="1D5FD1"/>
            <w:u w:val="single"/>
            <w:sz w:val="17"/>
            <w:szCs w:val="17"/>
            <w:rFonts w:ascii="Calibri" w:hAnsi="Calibri" w:eastAsia="Hiragino Sans GB"/>
          </w:rPr>
          <w:t>MSFT</w:t>
        </w:r>
      </w:hyperlink>
      <w:r>
        <w:t xml:space="preserve"> · </w:t>
      </w:r>
      <w:hyperlink r:id="rId40">
        <w:r>
          <w:rPr>
            <w:color w:val="1D5FD1"/>
            <w:u w:val="single"/>
            <w:sz w:val="17"/>
            <w:szCs w:val="17"/>
            <w:rFonts w:ascii="Calibri" w:hAnsi="Calibri" w:eastAsia="Hiragino Sans GB"/>
          </w:rPr>
          <w:t>AMZN</w:t>
        </w:r>
      </w:hyperlink>
      <w:r>
        <w:t xml:space="preserve"> · </w:t>
      </w:r>
      <w:hyperlink r:id="rId43">
        <w:r>
          <w:rPr>
            <w:color w:val="1D5FD1"/>
            <w:u w:val="single"/>
            <w:sz w:val="17"/>
            <w:szCs w:val="17"/>
            <w:rFonts w:ascii="Calibri" w:hAnsi="Calibri" w:eastAsia="Hiragino Sans GB"/>
          </w:rPr>
          <w:t>XLU</w:t>
        </w:r>
      </w:hyperlink>
      <w:r>
        <w:t xml:space="preserve"> · </w:t>
      </w:r>
      <w:hyperlink r:id="rId44">
        <w:r>
          <w:rPr>
            <w:color w:val="1D5FD1"/>
            <w:u w:val="single"/>
            <w:sz w:val="17"/>
            <w:szCs w:val="17"/>
            <w:rFonts w:ascii="Calibri" w:hAnsi="Calibri" w:eastAsia="Hiragino Sans GB"/>
          </w:rPr>
          <w:t>CEG</w:t>
        </w:r>
      </w:hyperlink>
      <w:r>
        <w:t xml:space="preserve"> · </w:t>
      </w:r>
      <w:hyperlink r:id="rId45">
        <w:r>
          <w:rPr>
            <w:color w:val="1D5FD1"/>
            <w:u w:val="single"/>
            <w:sz w:val="17"/>
            <w:szCs w:val="17"/>
            <w:rFonts w:ascii="Calibri" w:hAnsi="Calibri" w:eastAsia="Hiragino Sans GB"/>
          </w:rPr>
          <w:t>AEP</w:t>
        </w:r>
      </w:hyperlink>
    </w:p>
    <w:p>
      <w:pPr>
        <w:keepNext/>
      </w:pPr>
      <w:r>
        <w:rPr>
          <w:rFonts w:ascii="Calibri" w:hAnsi="Calibri" w:eastAsia="Hiragino Sans GB"/>
          <w:b/>
          <w:color w:val="D85B16"/>
          <w:sz w:val="18"/>
        </w:rPr>
        <w:t xml:space="preserve">04  SPLIT  </w:t>
      </w:r>
      <w:r>
        <w:rPr>
          <w:rFonts w:ascii="Calibri" w:hAnsi="Calibri" w:eastAsia="Hiragino Sans GB"/>
          <w:b/>
          <w:color w:val="111111"/>
          <w:sz w:val="22"/>
        </w:rPr>
        <w:t>新一代信息技术国产替代要从信创叙事进入算力、软件与安全订单验证 的本周证据更新</w:t>
      </w:r>
    </w:p>
    <w:p>
      <w:pPr>
        <w:keepLines w:val="0"/>
      </w:pPr>
      <w:r>
        <w:rPr>
          <w:rFonts w:ascii="Calibri" w:hAnsi="Calibri" w:eastAsia="Hiragino Sans GB"/>
          <w:b w:val="0"/>
          <w:color w:val="111111"/>
          <w:sz w:val="22"/>
        </w:rPr>
        <w:t>赛道：信创/国产 IT 栈。候选观察标的：688111.SH, 000977.SZ, 000063.SZ, 688041.SH, 688256.SH, 688981.SH, 688008.SH, 600845.SH。当前共有 40 条证据、4 位分析师和 8 条风险信号指向该判断；主导链条为 AI 基础设施。该主题应作为可跟踪投资假设，而不是孤立结论。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46">
        <w:r>
          <w:rPr>
            <w:color w:val="1D5FD1"/>
            <w:u w:val="single"/>
            <w:sz w:val="17"/>
            <w:szCs w:val="17"/>
            <w:rFonts w:ascii="Calibri" w:hAnsi="Calibri" w:eastAsia="Hiragino Sans GB"/>
          </w:rPr>
          <w:t>688256.SH</w:t>
        </w:r>
      </w:hyperlink>
      <w:r>
        <w:t xml:space="preserve"> · </w:t>
      </w:r>
      <w:hyperlink r:id="rId47">
        <w:r>
          <w:rPr>
            <w:color w:val="1D5FD1"/>
            <w:u w:val="single"/>
            <w:sz w:val="17"/>
            <w:szCs w:val="17"/>
            <w:rFonts w:ascii="Calibri" w:hAnsi="Calibri" w:eastAsia="Hiragino Sans GB"/>
          </w:rPr>
          <w:t>688041.SH</w:t>
        </w:r>
      </w:hyperlink>
      <w:r>
        <w:t xml:space="preserve"> · </w:t>
      </w:r>
      <w:hyperlink r:id="rId35">
        <w:r>
          <w:rPr>
            <w:color w:val="1D5FD1"/>
            <w:u w:val="single"/>
            <w:sz w:val="17"/>
            <w:szCs w:val="17"/>
            <w:rFonts w:ascii="Calibri" w:hAnsi="Calibri" w:eastAsia="Hiragino Sans GB"/>
          </w:rPr>
          <w:t>688981.SH</w:t>
        </w:r>
      </w:hyperlink>
      <w:r>
        <w:t xml:space="preserve"> · </w:t>
      </w:r>
      <w:hyperlink r:id="rId48">
        <w:r>
          <w:rPr>
            <w:color w:val="1D5FD1"/>
            <w:u w:val="single"/>
            <w:sz w:val="17"/>
            <w:szCs w:val="17"/>
            <w:rFonts w:ascii="Calibri" w:hAnsi="Calibri" w:eastAsia="Hiragino Sans GB"/>
          </w:rPr>
          <w:t>0981.HK</w:t>
        </w:r>
      </w:hyperlink>
      <w:r>
        <w:t xml:space="preserve"> · </w:t>
      </w:r>
      <w:hyperlink r:id="rId49">
        <w:r>
          <w:rPr>
            <w:color w:val="1D5FD1"/>
            <w:u w:val="single"/>
            <w:sz w:val="17"/>
            <w:szCs w:val="17"/>
            <w:rFonts w:ascii="Calibri" w:hAnsi="Calibri" w:eastAsia="Hiragino Sans GB"/>
          </w:rPr>
          <w:t>300308.SZ</w:t>
        </w:r>
      </w:hyperlink>
      <w:r>
        <w:t xml:space="preserve"> · </w:t>
      </w:r>
      <w:hyperlink r:id="rId39">
        <w:r>
          <w:rPr>
            <w:color w:val="1D5FD1"/>
            <w:u w:val="single"/>
            <w:sz w:val="17"/>
            <w:szCs w:val="17"/>
            <w:rFonts w:ascii="Calibri" w:hAnsi="Calibri" w:eastAsia="Hiragino Sans GB"/>
          </w:rPr>
          <w:t>NVDA</w:t>
        </w:r>
      </w:hyperlink>
    </w:p>
    <w:p>
      <w:pPr>
        <w:keepNext/>
      </w:pPr>
      <w:r>
        <w:rPr>
          <w:rFonts w:ascii="Calibri" w:hAnsi="Calibri" w:eastAsia="Hiragino Sans GB"/>
          <w:b/>
          <w:color w:val="D85B16"/>
          <w:sz w:val="18"/>
        </w:rPr>
        <w:t xml:space="preserve">05  WEAKENED  </w:t>
      </w:r>
      <w:r>
        <w:rPr>
          <w:rFonts w:ascii="Calibri" w:hAnsi="Calibri" w:eastAsia="Hiragino Sans GB"/>
          <w:b/>
          <w:color w:val="111111"/>
          <w:sz w:val="22"/>
        </w:rPr>
        <w:t>酒店餐饮休闲复苏正在从客流修复转向 RevPAR、翻台率与小盘 Alpha 的本周证据更新</w:t>
      </w:r>
    </w:p>
    <w:p>
      <w:pPr>
        <w:keepLines w:val="0"/>
      </w:pPr>
      <w:r>
        <w:rPr>
          <w:rFonts w:ascii="Calibri" w:hAnsi="Calibri" w:eastAsia="Hiragino Sans GB"/>
          <w:b w:val="0"/>
          <w:color w:val="111111"/>
          <w:sz w:val="22"/>
        </w:rPr>
        <w:t>赛道：酒店餐饮休闲/服务消费。候选观察标的：1179.HK, 9961.HK, 3690.HK, YUMC, MAR, BKNG, SBUX。当前共有 40 条证据、2 位分析师和 3 条风险信号指向该判断；主导链条为 宏观通胀传导。该主题应作为可跟踪投资假设，而不是孤立结论。 本周新增 8 条主线事件，其中支持 0 条、风险 8 条；当前组合含义是 这是有投资含义但证据分歧很高的主线，更适合配对验证、分批试错和严格证伪。</w:t>
      </w:r>
    </w:p>
    <w:p>
      <w:pPr>
        <w:pStyle w:val="TableCitation"/>
      </w:pPr>
      <w:r>
        <w:t>关联标的：</w:t>
      </w:r>
      <w:hyperlink r:id="rId50">
        <w:r>
          <w:rPr>
            <w:color w:val="1D5FD1"/>
            <w:u w:val="single"/>
            <w:sz w:val="17"/>
            <w:szCs w:val="17"/>
            <w:rFonts w:ascii="Calibri" w:hAnsi="Calibri" w:eastAsia="Hiragino Sans GB"/>
          </w:rPr>
          <w:t>3690.HK</w:t>
        </w:r>
      </w:hyperlink>
      <w:r>
        <w:t xml:space="preserve"> · </w:t>
      </w:r>
      <w:hyperlink r:id="rId51">
        <w:r>
          <w:rPr>
            <w:color w:val="1D5FD1"/>
            <w:u w:val="single"/>
            <w:sz w:val="17"/>
            <w:szCs w:val="17"/>
            <w:rFonts w:ascii="Calibri" w:hAnsi="Calibri" w:eastAsia="Hiragino Sans GB"/>
          </w:rPr>
          <w:t>9922.HK</w:t>
        </w:r>
      </w:hyperlink>
      <w:r>
        <w:t xml:space="preserve"> · </w:t>
      </w:r>
      <w:hyperlink r:id="rId52">
        <w:r>
          <w:rPr>
            <w:color w:val="1D5FD1"/>
            <w:u w:val="single"/>
            <w:sz w:val="17"/>
            <w:szCs w:val="17"/>
            <w:rFonts w:ascii="Calibri" w:hAnsi="Calibri" w:eastAsia="Hiragino Sans GB"/>
          </w:rPr>
          <w:t>001215.SZ</w:t>
        </w:r>
      </w:hyperlink>
      <w:r>
        <w:t xml:space="preserve"> · </w:t>
      </w:r>
      <w:hyperlink r:id="rId53">
        <w:r>
          <w:rPr>
            <w:color w:val="1D5FD1"/>
            <w:u w:val="single"/>
            <w:sz w:val="17"/>
            <w:szCs w:val="17"/>
            <w:rFonts w:ascii="Calibri" w:hAnsi="Calibri" w:eastAsia="Hiragino Sans GB"/>
          </w:rPr>
          <w:t>YUMC</w:t>
        </w:r>
      </w:hyperlink>
      <w:r>
        <w:t xml:space="preserve"> · </w:t>
      </w:r>
      <w:hyperlink r:id="rId54">
        <w:r>
          <w:rPr>
            <w:color w:val="1D5FD1"/>
            <w:u w:val="single"/>
            <w:sz w:val="17"/>
            <w:szCs w:val="17"/>
            <w:rFonts w:ascii="Calibri" w:hAnsi="Calibri" w:eastAsia="Hiragino Sans GB"/>
          </w:rPr>
          <w:t>1179.HK</w:t>
        </w:r>
      </w:hyperlink>
      <w:r>
        <w:t xml:space="preserve"> · </w:t>
      </w:r>
      <w:hyperlink r:id="rId55">
        <w:r>
          <w:rPr>
            <w:color w:val="1D5FD1"/>
            <w:u w:val="single"/>
            <w:sz w:val="17"/>
            <w:szCs w:val="17"/>
            <w:rFonts w:ascii="Calibri" w:hAnsi="Calibri" w:eastAsia="Hiragino Sans GB"/>
          </w:rPr>
          <w:t>300144.SZ</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6">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600089.SH · 002028.SZ · GEV · ETN · 601179.SH · CEG</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7">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688012.SH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8">
              <w:r>
                <w:rPr>
                  <w:color w:val="1D5FD1"/>
                  <w:u w:val="single"/>
                  <w:b/>
                  <w:sz w:val="16"/>
                  <w:szCs w:val="16"/>
                  <w:rFonts w:ascii="Calibri" w:hAnsi="Calibri" w:eastAsia="Hiragino Sans GB"/>
                </w:rPr>
                <w:t>人民币/美元流动性敏感资产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UUP · FXI · 3988.HK · 2800.HK · 600900.SH · 601088.SH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9">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DUK · 600905.SH · CEG · AEP · 600025.SH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KRE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000660.KS · MU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2">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UUP · CME · NVDA</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3">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CVX · XOM · 0857.HK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A股红利/硬科技杠铃</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601088.SH · 601398.SH · 688981.SH · 588000.SH · 600941.SH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3">
              <w:r>
                <w:rPr>
                  <w:color w:val="1D5FD1"/>
                  <w:u w:val="single"/>
                  <w:b/>
                  <w:sz w:val="16"/>
                  <w:szCs w:val="16"/>
                  <w:rFonts w:ascii="Calibri" w:hAnsi="Calibri" w:eastAsia="Hiragino Sans GB"/>
                </w:rPr>
                <w:t>Mag7 AI 平台再分层</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META · MSFT · NVDA · AMZN · GOOGL · TSM</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512100.SH · 688729.SH · 600900.SH · 300308.SZ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6">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688981.SH · 300308.SZ · 688041.SH · 688008.SH · 588000.SH</w:t>
            </w:r>
          </w:p>
        </w:tc>
      </w:tr>
    </w:tbl>
    <w:p>
      <w:pPr>
        <w:pStyle w:val="Heading1"/>
      </w:pPr>
      <w:r>
        <w:t>6. 关键分歧：保留正反两面</w:t>
      </w:r>
    </w:p>
    <w:p>
      <w:pPr>
        <w:pStyle w:val="Heading2"/>
      </w:pPr>
      <w:r>
        <w:t>01 · Mag7 在 AI 时代从平台垄断转向基础设施再分层</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2026-07-10｜超大规模厂商资本轮动：从消费内容到 AI 算力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 入口份额碎片化下 GOOGL/MSFT/META 相对溢价的重估</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02 · HBM4、CoWoS 与背面供电正在成为 AI 服务器需求曲线的串行闸门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NVIDIA Vera Rubin 平台及其先进封装 (CoWoS) 供应链深度解析</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HBM4与CoWoS-L：3nm瓶颈背后真正被低估的"铲子股"</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03 · AI 基础设施扩张从规模驱动切换到 TCO、能效和利用率筛选</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 封装材料：算力扩张的最终物理防线 (2026年5月)</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AMD 与 NVIDIA 数据中心竞争及 SMCI 毛利率可持续性分析报告</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1"/>
      </w:pPr>
      <w:r>
        <w:t>7. 下周验证清单</w:t>
      </w:r>
    </w:p>
    <w:p>
      <w:pPr>
        <w:pStyle w:val="Heading2"/>
      </w:pPr>
      <w:r>
        <w:t>01 · AI 电力/电网设备：并网排队和变压器交期是否继续拉长</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并网排队和变压器交期是否继续拉长</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02 · A股半导体/两融负 Gamma：融资余额、ETF 申赎和北向资金是否同向</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03 · 人民币/美元流动性敏感资产：融资余额、ETF 申赎和北向资金是否同向</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04 · 公用事业/电网信用：并网排队和变压器交期是否继续拉长</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并网排队和变压器交期是否继续拉长</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05 · 美债利率/美元再定价：CPI/PCE 与油价是否重新推高实际利率</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与油价是否重新推高实际利率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5/5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113</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baseline</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deterministic_grounded</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65">
              <w:r>
                <w:rPr>
                  <w:color w:val="1D5FD1"/>
                  <w:u w:val="single"/>
                  <w:b/>
                  <w:sz w:val="16"/>
                  <w:szCs w:val="16"/>
                  <w:rFonts w:ascii="Calibri" w:hAnsi="Calibri" w:eastAsia="Hiragino Sans GB"/>
                </w:rPr>
                <w:t>美国电力设备对华关税与反规避路径对A股变压器出海链的证伪风险，2026-07-12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66">
              <w:r>
                <w:rPr>
                  <w:color w:val="1D5FD1"/>
                  <w:u w:val="single"/>
                  <w:b/>
                  <w:sz w:val="16"/>
                  <w:szCs w:val="16"/>
                  <w:rFonts w:ascii="Calibri" w:hAnsi="Calibri" w:eastAsia="Hiragino Sans GB"/>
                </w:rPr>
                <w:t>A股市场结构验证：北向成交、融资余额与质量红利拥挤度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67">
              <w:r>
                <w:rPr>
                  <w:color w:val="1D5FD1"/>
                  <w:u w:val="single"/>
                  <w:b/>
                  <w:sz w:val="16"/>
                  <w:szCs w:val="16"/>
                  <w:rFonts w:ascii="Calibri" w:hAnsi="Calibri" w:eastAsia="Hiragino Sans GB"/>
                </w:rPr>
                <w:t>AI数据中心电网与电力供应瓶颈的结构性制约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68">
              <w:r>
                <w:rPr>
                  <w:color w:val="1D5FD1"/>
                  <w:u w:val="single"/>
                  <w:b/>
                  <w:sz w:val="16"/>
                  <w:szCs w:val="16"/>
                  <w:rFonts w:ascii="Calibri" w:hAnsi="Calibri" w:eastAsia="Hiragino Sans GB"/>
                </w:rPr>
                <w:t>2026-07-12 — 电力传导、核心PCE与美联储Higher-for-Longer利率算术</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69">
              <w:r>
                <w:rPr>
                  <w:color w:val="1D5FD1"/>
                  <w:u w:val="single"/>
                  <w:b/>
                  <w:sz w:val="16"/>
                  <w:szCs w:val="16"/>
                  <w:rFonts w:ascii="Calibri" w:hAnsi="Calibri" w:eastAsia="Hiragino Sans GB"/>
                </w:rPr>
                <w:t>A股电网设备出口壁垒与产能出海可行性评估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0">
              <w:r>
                <w:rPr>
                  <w:color w:val="1D5FD1"/>
                  <w:u w:val="single"/>
                  <w:b/>
                  <w:sz w:val="16"/>
                  <w:szCs w:val="16"/>
                  <w:rFonts w:ascii="Calibri" w:hAnsi="Calibri" w:eastAsia="Hiragino Sans GB"/>
                </w:rPr>
                <w:t>变压器关税惩罚与转口路径封锁对超大规模云厂商AI数据中心投产进度（COD）...</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1">
              <w:r>
                <w:rPr>
                  <w:color w:val="1D5FD1"/>
                  <w:u w:val="single"/>
                  <w:b/>
                  <w:sz w:val="16"/>
                  <w:szCs w:val="16"/>
                  <w:rFonts w:ascii="Calibri" w:hAnsi="Calibri" w:eastAsia="Hiragino Sans GB"/>
                </w:rPr>
                <w:t>属地化受限与电网设备Section 232风险下美国AI数据中心变压器落地成本与通电时点的重估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2">
              <w:r>
                <w:rPr>
                  <w:color w:val="1D5FD1"/>
                  <w:u w:val="single"/>
                  <w:b/>
                  <w:sz w:val="16"/>
                  <w:szCs w:val="16"/>
                  <w:rFonts w:ascii="Calibri" w:hAnsi="Calibri" w:eastAsia="Hiragino Sans GB"/>
                </w:rPr>
                <w:t>AI电力瓶颈下的跨资产哑铃配置、杠铃风格与情景压力测试报告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AI电网瓶颈下的跨资产配置与美股科技-公用事业-电力设备组合权重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2026-07-12 — A股两融与雪球去杠杆级联路径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2026-07-12 A股流动性压力测试：7月解禁供给与两融微观结构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2026-07-12 A股解禁与两融微观约束下的因子筛选与实施策略报告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有色金属定价权压力测试，日期：2026-07-12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AI数据中心电网成本如何社会化传导至居民与商业零售电价账单，以及传导时滞</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higher-for-longer再通胀政体下的跨资产配置策略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§0 YAML header</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2026-07-12 — 分化与脱钩：主权财政扩张能否绕过地产瓶颈直接激活制造业与内需？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2026-07-12 A股策略研究：正剪刀差下，利润率归谁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2026-07-15 数据闸门后的 A 股 beta 切换核验：工作日 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电网设备与红利公用事业的A股资金筹码结构与两融拥挤度监测（th T07 预警水位校核）</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HBM材料链在A股中的可投资映射（工作日：2026-07-12）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在超大规模云厂商AI资本开支中区分"生产性算力"与"电力期权"的定价，2026-07-12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A股电网设备拥挤度压力测试，2026-07-12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外汇策略报告：输入型通胀与下游通缩夹击下的人民币——为何深度负利差尚未压出弱势人民币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AI电力全天候组合最终IPS：50/25/15/10配置、回购优先流动性瀑布、压力VaR限额与“铜对冲优先”降...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OMO小幅降息与险资"红利锚"背景下，A股微观流动性结构与拥挤度分化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2026-07-12 策略卡：从 GPU 稀缺到内存死锁与 ASIC 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外汇研究记录：令北向翻转为加速卖家的人民币贬值阈值——及其向两融2.80万亿红线的传导时滞</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红利现金流久期的宏观—政策可持续性检验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AI电力与电网约束对2H2026板块轮动的策略影响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把券商两融与场外衍生品传导纳入A股最终配置：红利防御、科技再入场和券商股仓位触发器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M8/M9级高速CCL与先进封装大板直写光刻设备供需瓶颈对Blackwell Ultra及定制ASIC出货日程的物理约...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前序研究 — 美国 higher-for-longer 与中美利差历史高位下，国债久期敞口的 CNY 与资本流动上限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AI数据中心电力采购结构与资本开支转向风险，2026-07-12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全球宏观研究研究记录：美联储Warsh时代的新沟通机制及其对收益率曲线的影响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AI 数据中心资本开支与电力需求对美国通胀黏性的贡献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AI算力出货滑期下的全球科技组合优化：从通用算力Beta向瓶颈材料及物理基建垄断重构（工作日：2026...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CNH尾部波动向A股风格与港股中资行业的传导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美国反规避执法与欧盟FSR/IPI规则：第三国组装能否重置中国电网设备原产地？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鹰派Fed与USD/CNY压力下的A股风格轮动 - 2026-07-12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2026-07-12 — 全球宏观开局：7月FOMC前的美国通胀数据风险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2026-07-12 — 宏观专题：上游大宗商品通缩与下游服务通胀的博弈及7月FOMC政策路径再评估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2026-07-12 — 宏观专题：美联储更高更久路径下的主要货币脆弱性分析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A股策略研究记录：两融与外资流动性压力共振——风格过度切换的量化触发器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Warsh 掌舵的美联储在就业停滞之际转向鹰派：美国是否正滑向滞胀？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逆周期因子与离岸流动性防波堤的压力边界：若美联储HFL延宕且USD/JPY升穿165，人民币6.85防线的防...</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2026年半年报窗口下的HBM与先进封装材料链订单与收入验证（工作日：2026-07-12）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2026-07-12｜无前瞻指引与股债正相关背景下的A股风格轮动和行业配置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从5闸门记分卡到条件化A股风格轮动执行方案 — 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9">
              <w:r>
                <w:rPr>
                  <w:color w:val="1D5FD1"/>
                  <w:u w:val="single"/>
                  <w:b/>
                  <w:sz w:val="16"/>
                  <w:szCs w:val="16"/>
                  <w:rFonts w:ascii="Calibri" w:hAnsi="Calibri" w:eastAsia="Hiragino Sans GB"/>
                </w:rPr>
                <w:t>压力测试置换后半导体设备与光模块标的的供应链韧性与自主可控确定性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贸易壁垒传导与“有卡无电”恐慌：AI芯片与光模块供需剪刀差及半导体库存周期去化压力重估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2026-07-12 — CNY作为红利与久期之间的枢纽</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2026-07-12 — 宏观主题：Warsh 治下美联储的过度紧缩风险与 FRB/US 情景模拟（WTI 75–77 美元中...</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2026-07-12 AI Institute 每日投资研究读本</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HBM材料链A股篮子执行框架（工作日：2026-07-12）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研究记录 03：人民币汇率韧性与日元套利尾部风险对中国资产的影响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研究记录 08：分化的银行资本约束下宽信用/社融传导的钝化与对弱需求宏观的反哺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房地产开发作为财政脉冲向民间投资传导的门槛节点</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工业制造与国防航天周度研究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人民币本币组合持有美元计价实物避风港：7.40 压力线下的 CNY vs USD 敞口切分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美元强势与离岸防御共振下的A股流动性与杠杆压力测试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银行低息差底层在通缩与创纪录低 LPR 下的可持续性检验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金融市场交叉验证证伪"滞胀"标签：这是 Higher-for-Longer 再通胀，而非滞胀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2026-07-12 研究报告：净息差约束、数量型宽松、国债公允值与银行资产荒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26">
              <w:r>
                <w:rPr>
                  <w:color w:val="1D5FD1"/>
                  <w:u w:val="single"/>
                  <w:b/>
                  <w:sz w:val="16"/>
                  <w:szCs w:val="16"/>
                  <w:rFonts w:ascii="Calibri" w:hAnsi="Calibri" w:eastAsia="Hiragino Sans GB"/>
                </w:rPr>
                <w:t>7月15日国民经济运行数据发布前的A股市场结构确认 — 2026-07-12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02 周度研究报告：全球宏观、半导体与科技板块深度观察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7">
              <w:r>
                <w:rPr>
                  <w:color w:val="1D5FD1"/>
                  <w:u w:val="single"/>
                  <w:b/>
                  <w:sz w:val="16"/>
                  <w:szCs w:val="16"/>
                  <w:rFonts w:ascii="Calibri" w:hAnsi="Calibri" w:eastAsia="Hiragino Sans GB"/>
                </w:rPr>
                <w:t>06 周度研究报告：全球宏观、半导体与科技板块深度观察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2026-07-12 — 上市券商对两融与场外衍生品压力的敏感度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工业制造与国防航天周报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迎接2026-07-15/16 NBS发布的国债久期定位：为通缩对冲腿与再通胀解构风险定量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金融行业研究周报 (2026年7月6日 - 2026年7月10日)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金融行业研究周报 (2026年7月6日 - 2026年7月10日)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2026-07-12 全球宏观压力测试：PBOC反应函数、人民币7.30软线与在岸杠杆稳定</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PBOC货币与汇率政策立场能否将A股域内去杠杆尾部封在可控区间：DR007宽松与6.80中间价防守的持续性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2026-07-12</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1. 文件完整性 (File manifest)</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2026-07-11</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银行红利腿置信度下调后的 A 股杠铃权重再校准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2026-07-11</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AI 基础设施 capex 订单、数据中心电力约束与半导体 beta 的可持续性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2026-07-11</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电网与BTM双重卡口下，科技巨头资本开支向算力产出转化的宏观估值重估风险，及向“核电直连”逃逸...</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2026-07-11</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压力测试"绕过电网"论点：PJM并网延迟、变压器短缺，以及 BTM 气电 / FOTM 核电双轨方案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2026-07-11</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2026-07-11：银行仓位折扣后的A股红利组合再平衡：大行、公用事业、电信与指数内建能源的权重落地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28/" TargetMode="External"/><Relationship Id="rId12" Type="http://schemas.openxmlformats.org/officeDocument/2006/relationships/hyperlink" Target="https://vibe-alpha-three.vercel.app/investor/lanes/a-share-dividend-and-hard-tech-barbell/" TargetMode="External"/><Relationship Id="rId13" Type="http://schemas.openxmlformats.org/officeDocument/2006/relationships/hyperlink" Target="https://vibe-alpha-three.vercel.app/investor/lanes/mag7-ai-platform-re-layering/" TargetMode="External"/><Relationship Id="rId14" Type="http://schemas.openxmlformats.org/officeDocument/2006/relationships/hyperlink" Target="https://vibe-alpha-three.vercel.app/investor/lanes/ai-reflation-and-rate-sensitive-assets/" TargetMode="External"/><Relationship Id="rId15" Type="http://schemas.openxmlformats.org/officeDocument/2006/relationships/hyperlink" Target="https://vibe-alpha-three.vercel.app/investor/lanes/domestic-it-substitution-stack/" TargetMode="External"/><Relationship Id="rId16" Type="http://schemas.openxmlformats.org/officeDocument/2006/relationships/hyperlink" Target="https://vibe-alpha-three.vercel.app/investor/lanes/a-share-hard-tech-and-star50/" TargetMode="External"/><Relationship Id="rId17" Type="http://schemas.openxmlformats.org/officeDocument/2006/relationships/hyperlink" Target="https://vibe-alpha-three.vercel.app/investor/reports/archive-49c8c255ffc1/" TargetMode="External"/><Relationship Id="rId18" Type="http://schemas.openxmlformats.org/officeDocument/2006/relationships/hyperlink" Target="https://vibe-alpha-three.vercel.app/investor/reports/archive-efe22430eebb/" TargetMode="External"/><Relationship Id="rId19" Type="http://schemas.openxmlformats.org/officeDocument/2006/relationships/hyperlink" Target="https://vibe-alpha-three.vercel.app/investor/reports/archive-08040932d178/" TargetMode="External"/><Relationship Id="rId20" Type="http://schemas.openxmlformats.org/officeDocument/2006/relationships/hyperlink" Target="https://vibe-alpha-three.vercel.app/investor/theses/thesis-70daf87262/" TargetMode="External"/><Relationship Id="rId21" Type="http://schemas.openxmlformats.org/officeDocument/2006/relationships/hyperlink" Target="https://vibe-alpha-three.vercel.app/investor/reports/archive-6d477ccae3b9/" TargetMode="External"/><Relationship Id="rId22" Type="http://schemas.openxmlformats.org/officeDocument/2006/relationships/hyperlink" Target="https://vibe-alpha-three.vercel.app/investor/theses/thesis-8c5a9690a0/" TargetMode="External"/><Relationship Id="rId23" Type="http://schemas.openxmlformats.org/officeDocument/2006/relationships/hyperlink" Target="https://vibe-alpha-three.vercel.app/investor/theses/thesis-075017003b/" TargetMode="External"/><Relationship Id="rId24" Type="http://schemas.openxmlformats.org/officeDocument/2006/relationships/hyperlink" Target="https://vibe-alpha-three.vercel.app/investor/reports/archive-20d5b5e0e465/" TargetMode="External"/><Relationship Id="rId25" Type="http://schemas.openxmlformats.org/officeDocument/2006/relationships/hyperlink" Target="https://vibe-alpha-three.vercel.app/investor/reports/archive-066c4ec326f4/" TargetMode="External"/><Relationship Id="rId26" Type="http://schemas.openxmlformats.org/officeDocument/2006/relationships/hyperlink" Target="https://vibe-alpha-three.vercel.app/investor/reports/archive-76a18c769fb1/" TargetMode="External"/><Relationship Id="rId27" Type="http://schemas.openxmlformats.org/officeDocument/2006/relationships/hyperlink" Target="https://vibe-alpha-three.vercel.app/investor/theses/thesis-7a6599a3f5/" TargetMode="External"/><Relationship Id="rId28" Type="http://schemas.openxmlformats.org/officeDocument/2006/relationships/hyperlink" Target="https://vibe-alpha-three.vercel.app/investor/reports/archive-653445c77bef/" TargetMode="External"/><Relationship Id="rId29" Type="http://schemas.openxmlformats.org/officeDocument/2006/relationships/hyperlink" Target="https://vibe-alpha-three.vercel.app/investor/reports/archive-281a5d5db36d/" TargetMode="External"/><Relationship Id="rId30" Type="http://schemas.openxmlformats.org/officeDocument/2006/relationships/hyperlink" Target="https://vibe-alpha-three.vercel.app/investor/theses/thesis-603a5f7966/" TargetMode="External"/><Relationship Id="rId31" Type="http://schemas.openxmlformats.org/officeDocument/2006/relationships/hyperlink" Target="https://vibe-alpha-three.vercel.app/investor/stocks/600900.SH/" TargetMode="External"/><Relationship Id="rId32" Type="http://schemas.openxmlformats.org/officeDocument/2006/relationships/hyperlink" Target="https://vibe-alpha-three.vercel.app/investor/stocks/601088.SH/" TargetMode="External"/><Relationship Id="rId33" Type="http://schemas.openxmlformats.org/officeDocument/2006/relationships/hyperlink" Target="https://vibe-alpha-three.vercel.app/investor/stocks/601398.SH/" TargetMode="External"/><Relationship Id="rId34" Type="http://schemas.openxmlformats.org/officeDocument/2006/relationships/hyperlink" Target="https://vibe-alpha-three.vercel.app/investor/stocks/600941.SH/" TargetMode="External"/><Relationship Id="rId35" Type="http://schemas.openxmlformats.org/officeDocument/2006/relationships/hyperlink" Target="https://vibe-alpha-three.vercel.app/investor/stocks/688981.SH/" TargetMode="External"/><Relationship Id="rId36" Type="http://schemas.openxmlformats.org/officeDocument/2006/relationships/hyperlink" Target="https://vibe-alpha-three.vercel.app/investor/stocks/588000.SH/" TargetMode="External"/><Relationship Id="rId37" Type="http://schemas.openxmlformats.org/officeDocument/2006/relationships/hyperlink" Target="https://vibe-alpha-three.vercel.app/investor/stocks/META/" TargetMode="External"/><Relationship Id="rId38" Type="http://schemas.openxmlformats.org/officeDocument/2006/relationships/hyperlink" Target="https://vibe-alpha-three.vercel.app/investor/stocks/MSFT/" TargetMode="External"/><Relationship Id="rId39" Type="http://schemas.openxmlformats.org/officeDocument/2006/relationships/hyperlink" Target="https://vibe-alpha-three.vercel.app/investor/stocks/NVDA/" TargetMode="External"/><Relationship Id="rId40" Type="http://schemas.openxmlformats.org/officeDocument/2006/relationships/hyperlink" Target="https://vibe-alpha-three.vercel.app/investor/stocks/AMZN/" TargetMode="External"/><Relationship Id="rId41" Type="http://schemas.openxmlformats.org/officeDocument/2006/relationships/hyperlink" Target="https://vibe-alpha-three.vercel.app/investor/stocks/GOOGL/" TargetMode="External"/><Relationship Id="rId42" Type="http://schemas.openxmlformats.org/officeDocument/2006/relationships/hyperlink" Target="https://vibe-alpha-three.vercel.app/investor/stocks/TSM/" TargetMode="External"/><Relationship Id="rId43" Type="http://schemas.openxmlformats.org/officeDocument/2006/relationships/hyperlink" Target="https://vibe-alpha-three.vercel.app/investor/stocks/XLU/" TargetMode="External"/><Relationship Id="rId44" Type="http://schemas.openxmlformats.org/officeDocument/2006/relationships/hyperlink" Target="https://vibe-alpha-three.vercel.app/investor/stocks/CEG/" TargetMode="External"/><Relationship Id="rId45" Type="http://schemas.openxmlformats.org/officeDocument/2006/relationships/hyperlink" Target="https://vibe-alpha-three.vercel.app/investor/stocks/AEP/" TargetMode="External"/><Relationship Id="rId46" Type="http://schemas.openxmlformats.org/officeDocument/2006/relationships/hyperlink" Target="https://vibe-alpha-three.vercel.app/investor/stocks/688256.SH/" TargetMode="External"/><Relationship Id="rId47" Type="http://schemas.openxmlformats.org/officeDocument/2006/relationships/hyperlink" Target="https://vibe-alpha-three.vercel.app/investor/stocks/688041.SH/" TargetMode="External"/><Relationship Id="rId48" Type="http://schemas.openxmlformats.org/officeDocument/2006/relationships/hyperlink" Target="https://vibe-alpha-three.vercel.app/investor/stocks/0981.HK/" TargetMode="External"/><Relationship Id="rId49" Type="http://schemas.openxmlformats.org/officeDocument/2006/relationships/hyperlink" Target="https://vibe-alpha-three.vercel.app/investor/stocks/300308.SZ/" TargetMode="External"/><Relationship Id="rId50" Type="http://schemas.openxmlformats.org/officeDocument/2006/relationships/hyperlink" Target="https://vibe-alpha-three.vercel.app/investor/stocks/3690.HK/" TargetMode="External"/><Relationship Id="rId51" Type="http://schemas.openxmlformats.org/officeDocument/2006/relationships/hyperlink" Target="https://vibe-alpha-three.vercel.app/investor/stocks/9922.HK/" TargetMode="External"/><Relationship Id="rId52" Type="http://schemas.openxmlformats.org/officeDocument/2006/relationships/hyperlink" Target="https://vibe-alpha-three.vercel.app/investor/stocks/001215.SZ/" TargetMode="External"/><Relationship Id="rId53" Type="http://schemas.openxmlformats.org/officeDocument/2006/relationships/hyperlink" Target="https://vibe-alpha-three.vercel.app/investor/stocks/YUMC/" TargetMode="External"/><Relationship Id="rId54" Type="http://schemas.openxmlformats.org/officeDocument/2006/relationships/hyperlink" Target="https://vibe-alpha-three.vercel.app/investor/stocks/1179.HK/" TargetMode="External"/><Relationship Id="rId55" Type="http://schemas.openxmlformats.org/officeDocument/2006/relationships/hyperlink" Target="https://vibe-alpha-three.vercel.app/investor/stocks/300144.SZ/" TargetMode="External"/><Relationship Id="rId56" Type="http://schemas.openxmlformats.org/officeDocument/2006/relationships/hyperlink" Target="https://vibe-alpha-three.vercel.app/investor/lanes/ai-power-and-grid-equipment/" TargetMode="External"/><Relationship Id="rId57" Type="http://schemas.openxmlformats.org/officeDocument/2006/relationships/hyperlink" Target="https://vibe-alpha-three.vercel.app/investor/lanes/a-share-semiconductor-margin-and-negative-gamma/" TargetMode="External"/><Relationship Id="rId58" Type="http://schemas.openxmlformats.org/officeDocument/2006/relationships/hyperlink" Target="https://vibe-alpha-three.vercel.app/investor/lanes/rmb-dollar-and-liquidity-sensitive-assets/" TargetMode="External"/><Relationship Id="rId59" Type="http://schemas.openxmlformats.org/officeDocument/2006/relationships/hyperlink" Target="https://vibe-alpha-three.vercel.app/investor/lanes/utilities-grid-rate-base-and-credit/" TargetMode="External"/><Relationship Id="rId60" Type="http://schemas.openxmlformats.org/officeDocument/2006/relationships/hyperlink" Target="https://vibe-alpha-three.vercel.app/investor/lanes/us-rates-and-dollar-repricing/" TargetMode="External"/><Relationship Id="rId61" Type="http://schemas.openxmlformats.org/officeDocument/2006/relationships/hyperlink" Target="https://vibe-alpha-three.vercel.app/investor/lanes/advanced-packaging-and-hbm4-gate/" TargetMode="External"/><Relationship Id="rId62" Type="http://schemas.openxmlformats.org/officeDocument/2006/relationships/hyperlink" Target="https://vibe-alpha-three.vercel.app/investor/lanes/yen-carry-and-em-tech-liquidity/" TargetMode="External"/><Relationship Id="rId63" Type="http://schemas.openxmlformats.org/officeDocument/2006/relationships/hyperlink" Target="https://vibe-alpha-three.vercel.app/investor/lanes/oil-gas-and-geopolitical-inflation/" TargetMode="External"/><Relationship Id="rId64" Type="http://schemas.openxmlformats.org/officeDocument/2006/relationships/hyperlink" Target="https://vibe-alpha-three.vercel.app/investor/lanes/a-share-risk-appetite-and-margin/" TargetMode="External"/><Relationship Id="rId65" Type="http://schemas.openxmlformats.org/officeDocument/2006/relationships/hyperlink" Target="https://vibe-alpha-three.vercel.app/investor/reports/archive-382efe9c8f3d/" TargetMode="External"/><Relationship Id="rId66" Type="http://schemas.openxmlformats.org/officeDocument/2006/relationships/hyperlink" Target="https://vibe-alpha-three.vercel.app/investor/reports/archive-6291b11dbfc8/" TargetMode="External"/><Relationship Id="rId67" Type="http://schemas.openxmlformats.org/officeDocument/2006/relationships/hyperlink" Target="https://vibe-alpha-three.vercel.app/investor/reports/archive-804853417336/" TargetMode="External"/><Relationship Id="rId68" Type="http://schemas.openxmlformats.org/officeDocument/2006/relationships/hyperlink" Target="https://vibe-alpha-three.vercel.app/investor/reports/archive-5812faede078/" TargetMode="External"/><Relationship Id="rId69" Type="http://schemas.openxmlformats.org/officeDocument/2006/relationships/hyperlink" Target="https://vibe-alpha-three.vercel.app/investor/reports/archive-9a3447aa4629/" TargetMode="External"/><Relationship Id="rId70" Type="http://schemas.openxmlformats.org/officeDocument/2006/relationships/hyperlink" Target="https://vibe-alpha-three.vercel.app/investor/reports/archive-eb9a6cfbffc6/" TargetMode="External"/><Relationship Id="rId71" Type="http://schemas.openxmlformats.org/officeDocument/2006/relationships/hyperlink" Target="https://vibe-alpha-three.vercel.app/investor/reports/archive-e05333b5edf0/" TargetMode="External"/><Relationship Id="rId72" Type="http://schemas.openxmlformats.org/officeDocument/2006/relationships/hyperlink" Target="https://vibe-alpha-three.vercel.app/investor/reports/archive-fa56baed7c08/" TargetMode="External"/><Relationship Id="rId73" Type="http://schemas.openxmlformats.org/officeDocument/2006/relationships/hyperlink" Target="https://vibe-alpha-three.vercel.app/investor/reports/archive-31bdff35eae4/" TargetMode="External"/><Relationship Id="rId74" Type="http://schemas.openxmlformats.org/officeDocument/2006/relationships/hyperlink" Target="https://vibe-alpha-three.vercel.app/investor/reports/archive-185e39582b3e/" TargetMode="External"/><Relationship Id="rId75" Type="http://schemas.openxmlformats.org/officeDocument/2006/relationships/hyperlink" Target="https://vibe-alpha-three.vercel.app/investor/reports/archive-bc7f5df4a7e6/" TargetMode="External"/><Relationship Id="rId76" Type="http://schemas.openxmlformats.org/officeDocument/2006/relationships/hyperlink" Target="https://vibe-alpha-three.vercel.app/investor/reports/archive-60a46c5b19e9/" TargetMode="External"/><Relationship Id="rId77" Type="http://schemas.openxmlformats.org/officeDocument/2006/relationships/hyperlink" Target="https://vibe-alpha-three.vercel.app/investor/reports/archive-8b89a25dbc71/" TargetMode="External"/><Relationship Id="rId78" Type="http://schemas.openxmlformats.org/officeDocument/2006/relationships/hyperlink" Target="https://vibe-alpha-three.vercel.app/investor/reports/archive-c9345f9b25af/" TargetMode="External"/><Relationship Id="rId79" Type="http://schemas.openxmlformats.org/officeDocument/2006/relationships/hyperlink" Target="https://vibe-alpha-three.vercel.app/investor/reports/archive-ab220af71c7c/" TargetMode="External"/><Relationship Id="rId80" Type="http://schemas.openxmlformats.org/officeDocument/2006/relationships/hyperlink" Target="https://vibe-alpha-three.vercel.app/investor/reports/archive-2bdd3fc22e15/" TargetMode="External"/><Relationship Id="rId81" Type="http://schemas.openxmlformats.org/officeDocument/2006/relationships/hyperlink" Target="https://vibe-alpha-three.vercel.app/investor/reports/archive-ffb9fdf27f2d/" TargetMode="External"/><Relationship Id="rId82" Type="http://schemas.openxmlformats.org/officeDocument/2006/relationships/hyperlink" Target="https://vibe-alpha-three.vercel.app/investor/reports/archive-aea06bb3e357/" TargetMode="External"/><Relationship Id="rId83" Type="http://schemas.openxmlformats.org/officeDocument/2006/relationships/hyperlink" Target="https://vibe-alpha-three.vercel.app/investor/reports/archive-7c598442f27e/" TargetMode="External"/><Relationship Id="rId84" Type="http://schemas.openxmlformats.org/officeDocument/2006/relationships/hyperlink" Target="https://vibe-alpha-three.vercel.app/investor/reports/archive-3a87aef75a0f/" TargetMode="External"/><Relationship Id="rId85" Type="http://schemas.openxmlformats.org/officeDocument/2006/relationships/hyperlink" Target="https://vibe-alpha-three.vercel.app/investor/reports/archive-4701edd3eebd/" TargetMode="External"/><Relationship Id="rId86" Type="http://schemas.openxmlformats.org/officeDocument/2006/relationships/hyperlink" Target="https://vibe-alpha-three.vercel.app/investor/reports/archive-10e53868718a/" TargetMode="External"/><Relationship Id="rId87" Type="http://schemas.openxmlformats.org/officeDocument/2006/relationships/hyperlink" Target="https://vibe-alpha-three.vercel.app/investor/reports/archive-602b0f77743d/" TargetMode="External"/><Relationship Id="rId88" Type="http://schemas.openxmlformats.org/officeDocument/2006/relationships/hyperlink" Target="https://vibe-alpha-three.vercel.app/investor/reports/archive-abbd04ac842a/" TargetMode="External"/><Relationship Id="rId89" Type="http://schemas.openxmlformats.org/officeDocument/2006/relationships/hyperlink" Target="https://vibe-alpha-three.vercel.app/investor/reports/archive-903065b0941d/" TargetMode="External"/><Relationship Id="rId90" Type="http://schemas.openxmlformats.org/officeDocument/2006/relationships/hyperlink" Target="https://vibe-alpha-three.vercel.app/investor/reports/archive-76106af14215/" TargetMode="External"/><Relationship Id="rId91" Type="http://schemas.openxmlformats.org/officeDocument/2006/relationships/hyperlink" Target="https://vibe-alpha-three.vercel.app/investor/reports/archive-b4a2e11e12b2/" TargetMode="External"/><Relationship Id="rId92" Type="http://schemas.openxmlformats.org/officeDocument/2006/relationships/hyperlink" Target="https://vibe-alpha-three.vercel.app/investor/reports/archive-dd9249bddef6/" TargetMode="External"/><Relationship Id="rId93" Type="http://schemas.openxmlformats.org/officeDocument/2006/relationships/hyperlink" Target="https://vibe-alpha-three.vercel.app/investor/reports/archive-5e8853aa354f/" TargetMode="External"/><Relationship Id="rId94" Type="http://schemas.openxmlformats.org/officeDocument/2006/relationships/hyperlink" Target="https://vibe-alpha-three.vercel.app/investor/reports/archive-b8ffc519c9a7/" TargetMode="External"/><Relationship Id="rId95" Type="http://schemas.openxmlformats.org/officeDocument/2006/relationships/hyperlink" Target="https://vibe-alpha-three.vercel.app/investor/reports/archive-a42ab21114fb/" TargetMode="External"/><Relationship Id="rId96" Type="http://schemas.openxmlformats.org/officeDocument/2006/relationships/hyperlink" Target="https://vibe-alpha-three.vercel.app/investor/reports/archive-ae8b503c52f2/" TargetMode="External"/><Relationship Id="rId97" Type="http://schemas.openxmlformats.org/officeDocument/2006/relationships/hyperlink" Target="https://vibe-alpha-three.vercel.app/investor/reports/archive-f712101b3b18/" TargetMode="External"/><Relationship Id="rId98" Type="http://schemas.openxmlformats.org/officeDocument/2006/relationships/hyperlink" Target="https://vibe-alpha-three.vercel.app/investor/reports/archive-6fb9234eed7a/" TargetMode="External"/><Relationship Id="rId99" Type="http://schemas.openxmlformats.org/officeDocument/2006/relationships/hyperlink" Target="https://vibe-alpha-three.vercel.app/investor/reports/archive-d2a6e307524f/" TargetMode="External"/><Relationship Id="rId100" Type="http://schemas.openxmlformats.org/officeDocument/2006/relationships/hyperlink" Target="https://vibe-alpha-three.vercel.app/investor/reports/archive-7b9053e5eb2a/" TargetMode="External"/><Relationship Id="rId101" Type="http://schemas.openxmlformats.org/officeDocument/2006/relationships/hyperlink" Target="https://vibe-alpha-three.vercel.app/investor/reports/archive-55ff84e64f72/" TargetMode="External"/><Relationship Id="rId102" Type="http://schemas.openxmlformats.org/officeDocument/2006/relationships/hyperlink" Target="https://vibe-alpha-three.vercel.app/investor/reports/archive-31bb425d0d88/" TargetMode="External"/><Relationship Id="rId103" Type="http://schemas.openxmlformats.org/officeDocument/2006/relationships/hyperlink" Target="https://vibe-alpha-three.vercel.app/investor/reports/archive-2eb5bdfb2264/" TargetMode="External"/><Relationship Id="rId104" Type="http://schemas.openxmlformats.org/officeDocument/2006/relationships/hyperlink" Target="https://vibe-alpha-three.vercel.app/investor/reports/archive-f914f3767076/" TargetMode="External"/><Relationship Id="rId105" Type="http://schemas.openxmlformats.org/officeDocument/2006/relationships/hyperlink" Target="https://vibe-alpha-three.vercel.app/investor/reports/archive-14105c049496/" TargetMode="External"/><Relationship Id="rId106" Type="http://schemas.openxmlformats.org/officeDocument/2006/relationships/hyperlink" Target="https://vibe-alpha-three.vercel.app/investor/reports/archive-41e30394ca9f/" TargetMode="External"/><Relationship Id="rId107" Type="http://schemas.openxmlformats.org/officeDocument/2006/relationships/hyperlink" Target="https://vibe-alpha-three.vercel.app/investor/reports/archive-c74bf1552db3/" TargetMode="External"/><Relationship Id="rId108" Type="http://schemas.openxmlformats.org/officeDocument/2006/relationships/hyperlink" Target="https://vibe-alpha-three.vercel.app/investor/reports/archive-e7e4a575f32c/" TargetMode="External"/><Relationship Id="rId109" Type="http://schemas.openxmlformats.org/officeDocument/2006/relationships/hyperlink" Target="https://vibe-alpha-three.vercel.app/investor/reports/archive-089c611c35cd/" TargetMode="External"/><Relationship Id="rId110" Type="http://schemas.openxmlformats.org/officeDocument/2006/relationships/hyperlink" Target="https://vibe-alpha-three.vercel.app/investor/reports/archive-fe1c72ffaca1/" TargetMode="External"/><Relationship Id="rId111" Type="http://schemas.openxmlformats.org/officeDocument/2006/relationships/hyperlink" Target="https://vibe-alpha-three.vercel.app/investor/reports/reader-daily-reader-2026-07-12/" TargetMode="External"/><Relationship Id="rId112" Type="http://schemas.openxmlformats.org/officeDocument/2006/relationships/hyperlink" Target="https://vibe-alpha-three.vercel.app/investor/reports/archive-5689de89bafa/" TargetMode="External"/><Relationship Id="rId113" Type="http://schemas.openxmlformats.org/officeDocument/2006/relationships/hyperlink" Target="https://vibe-alpha-three.vercel.app/investor/reports/archive-1b1a04d9f65a/" TargetMode="External"/><Relationship Id="rId114" Type="http://schemas.openxmlformats.org/officeDocument/2006/relationships/hyperlink" Target="https://vibe-alpha-three.vercel.app/investor/reports/archive-aadf0fb078c9/" TargetMode="External"/><Relationship Id="rId115" Type="http://schemas.openxmlformats.org/officeDocument/2006/relationships/hyperlink" Target="https://vibe-alpha-three.vercel.app/investor/reports/archive-e5344406c989/" TargetMode="External"/><Relationship Id="rId116" Type="http://schemas.openxmlformats.org/officeDocument/2006/relationships/hyperlink" Target="https://vibe-alpha-three.vercel.app/investor/reports/archive-359fcddf92d2/" TargetMode="External"/><Relationship Id="rId117" Type="http://schemas.openxmlformats.org/officeDocument/2006/relationships/hyperlink" Target="https://vibe-alpha-three.vercel.app/investor/reports/archive-60cba1bb2c2c/" TargetMode="External"/><Relationship Id="rId118" Type="http://schemas.openxmlformats.org/officeDocument/2006/relationships/hyperlink" Target="https://vibe-alpha-three.vercel.app/investor/reports/archive-0decf56e7608/" TargetMode="External"/><Relationship Id="rId119" Type="http://schemas.openxmlformats.org/officeDocument/2006/relationships/hyperlink" Target="https://vibe-alpha-three.vercel.app/investor/reports/archive-90acc7d2a736/" TargetMode="External"/><Relationship Id="rId120" Type="http://schemas.openxmlformats.org/officeDocument/2006/relationships/hyperlink" Target="https://vibe-alpha-three.vercel.app/investor/reports/archive-089f933fdc2a/" TargetMode="External"/><Relationship Id="rId121" Type="http://schemas.openxmlformats.org/officeDocument/2006/relationships/hyperlink" Target="https://vibe-alpha-three.vercel.app/investor/reports/archive-8182bfb4a4d5/" TargetMode="External"/><Relationship Id="rId122" Type="http://schemas.openxmlformats.org/officeDocument/2006/relationships/hyperlink" Target="https://vibe-alpha-three.vercel.app/investor/reports/archive-ecb9d5e4186f/" TargetMode="External"/><Relationship Id="rId123" Type="http://schemas.openxmlformats.org/officeDocument/2006/relationships/hyperlink" Target="https://vibe-alpha-three.vercel.app/investor/reports/archive-0273504da0f0/" TargetMode="External"/><Relationship Id="rId124" Type="http://schemas.openxmlformats.org/officeDocument/2006/relationships/hyperlink" Target="https://vibe-alpha-three.vercel.app/investor/reports/archive-00c004717650/" TargetMode="External"/><Relationship Id="rId125" Type="http://schemas.openxmlformats.org/officeDocument/2006/relationships/hyperlink" Target="https://vibe-alpha-three.vercel.app/investor/reports/archive-5c704638f877/" TargetMode="External"/><Relationship Id="rId126" Type="http://schemas.openxmlformats.org/officeDocument/2006/relationships/hyperlink" Target="https://vibe-alpha-three.vercel.app/investor/reports/archive-04b5d624db40/" TargetMode="External"/><Relationship Id="rId127" Type="http://schemas.openxmlformats.org/officeDocument/2006/relationships/hyperlink" Target="https://vibe-alpha-three.vercel.app/investor/reports/archive-dd7fbc459499/" TargetMode="External"/><Relationship Id="rId128" Type="http://schemas.openxmlformats.org/officeDocument/2006/relationships/hyperlink" Target="https://vibe-alpha-three.vercel.app/investor/reports/archive-18a8d9b105ca/" TargetMode="External"/><Relationship Id="rId129" Type="http://schemas.openxmlformats.org/officeDocument/2006/relationships/hyperlink" Target="https://vibe-alpha-three.vercel.app/investor/reports/archive-4a96d8d1291d/" TargetMode="External"/><Relationship Id="rId130" Type="http://schemas.openxmlformats.org/officeDocument/2006/relationships/hyperlink" Target="https://vibe-alpha-three.vercel.app/investor/reports/archive-341cdaa8ea2f/" TargetMode="External"/><Relationship Id="rId131" Type="http://schemas.openxmlformats.org/officeDocument/2006/relationships/hyperlink" Target="https://vibe-alpha-three.vercel.app/investor/reports/archive-b6f53996e1bf/" TargetMode="External"/><Relationship Id="rId132" Type="http://schemas.openxmlformats.org/officeDocument/2006/relationships/hyperlink" Target="https://vibe-alpha-three.vercel.app/investor/reports/archive-7357afd4d773/" TargetMode="External"/><Relationship Id="rId133" Type="http://schemas.openxmlformats.org/officeDocument/2006/relationships/hyperlink" Target="https://vibe-alpha-three.vercel.app/investor/reports/archive-d5dc0bf065fa/" TargetMode="External"/><Relationship Id="rId134" Type="http://schemas.openxmlformats.org/officeDocument/2006/relationships/hyperlink" Target="https://vibe-alpha-three.vercel.app/investor/reports/archive-b3298999753f/" TargetMode="External"/><Relationship Id="rId135" Type="http://schemas.openxmlformats.org/officeDocument/2006/relationships/hyperlink" Target="https://vibe-alpha-three.vercel.app/investor/reports/archive-8270bcf95b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2026-W28 AI Institute 周度投资研究全景</dc:title>
  <dc:subject>AI Institute weekly research report 2026-W28</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