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Songti SC"/>
          <w:b/>
          <w:i w:val="0"/>
          <w:color w:val="285B9D"/>
          <w:sz w:val="20"/>
        </w:rPr>
        <w:t>AI Institute</w:t>
      </w:r>
    </w:p>
    <w:p>
      <w:pPr>
        <w:pStyle w:val="Title"/>
        <w:spacing w:before="0" w:after="80" w:line="264" w:lineRule="auto"/>
      </w:pPr>
      <w:r>
        <w:rPr>
          <w:rFonts w:ascii="Calibri" w:hAnsi="Calibri" w:eastAsia="Songti SC"/>
          <w:b w:val="0"/>
          <w:i w:val="0"/>
        </w:rPr>
        <w:t>每日投资研究简报</w:t>
      </w:r>
    </w:p>
    <w:p>
      <w:pPr>
        <w:pStyle w:val="Subtitle"/>
        <w:spacing w:before="0" w:after="240" w:line="264" w:lineRule="auto"/>
      </w:pPr>
      <w:r>
        <w:rPr>
          <w:rFonts w:ascii="Calibri" w:hAnsi="Calibri" w:eastAsia="Songti SC"/>
          <w:b w:val="0"/>
          <w:i w:val="0"/>
        </w:rPr>
        <w:t>2026-07-19 · webpage screenshot DOCX edition</w:t>
      </w:r>
    </w:p>
    <w:p>
      <w:pPr>
        <w:spacing w:before="0" w:after="160" w:line="264" w:lineRule="auto"/>
      </w:pPr>
      <w:r>
        <w:rPr>
          <w:rFonts w:ascii="Calibri" w:hAnsi="Calibri" w:eastAsia="Songti SC"/>
          <w:b/>
          <w:i w:val="0"/>
          <w:color w:val="0B2545"/>
          <w:sz w:val="34"/>
        </w:rPr>
        <w:t>宏观通胀传导仍是今日主线，AI 基础设施提供第二层验证。</w:t>
      </w:r>
    </w:p>
    <w:p>
      <w:pPr>
        <w:spacing w:before="0" w:after="240" w:line="264" w:lineRule="auto"/>
      </w:pPr>
      <w:r>
        <w:rPr>
          <w:rFonts w:ascii="Calibri" w:hAnsi="Calibri" w:eastAsia="Songti SC"/>
          <w:b w:val="0"/>
          <w:i w:val="0"/>
          <w:color w:val="334155"/>
          <w:sz w:val="22"/>
        </w:rPr>
        <w:t>2026-07-19 共纳入 83 篇中文研究结果，覆盖 0 位活跃分析师和 5 条主要行业链，较 2026-07-18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Songti SC"/>
                <w:b/>
                <w:color w:val="667085"/>
                <w:sz w:val="17"/>
              </w:rPr>
              <w:t>今日报告</w:t>
              <w:br/>
            </w:r>
            <w:r>
              <w:rPr>
                <w:rFonts w:ascii="Calibri" w:hAnsi="Calibri" w:eastAsia="Songti SC"/>
                <w:b/>
                <w:color w:val="285B9D"/>
                <w:sz w:val="36"/>
              </w:rPr>
              <w:t>83</w:t>
            </w:r>
          </w:p>
        </w:tc>
        <w:tc>
          <w:tcPr>
            <w:tcW w:type="dxa" w:w="2340"/>
            <w:vAlign w:val="center"/>
            <w:shd w:fill="F8FAFC"/>
          </w:tcPr>
          <w:p>
            <w:pPr>
              <w:spacing w:after="40"/>
            </w:pPr>
            <w:r>
              <w:rPr>
                <w:rFonts w:ascii="Calibri" w:hAnsi="Calibri" w:eastAsia="Songti SC"/>
                <w:b/>
                <w:color w:val="667085"/>
                <w:sz w:val="17"/>
              </w:rPr>
              <w:t>活跃分析师</w:t>
              <w:br/>
            </w:r>
            <w:r>
              <w:rPr>
                <w:rFonts w:ascii="Calibri" w:hAnsi="Calibri" w:eastAsia="Songti SC"/>
                <w:b/>
                <w:color w:val="237A5B"/>
                <w:sz w:val="36"/>
              </w:rPr>
              <w:t>0</w:t>
            </w:r>
          </w:p>
        </w:tc>
        <w:tc>
          <w:tcPr>
            <w:tcW w:type="dxa" w:w="2340"/>
            <w:vAlign w:val="center"/>
            <w:shd w:fill="F8FAFC"/>
          </w:tcPr>
          <w:p>
            <w:pPr>
              <w:spacing w:after="40"/>
            </w:pPr>
            <w:r>
              <w:rPr>
                <w:rFonts w:ascii="Calibri" w:hAnsi="Calibri" w:eastAsia="Songti SC"/>
                <w:b/>
                <w:color w:val="667085"/>
                <w:sz w:val="17"/>
              </w:rPr>
              <w:t>活跃链条</w:t>
              <w:br/>
            </w:r>
            <w:r>
              <w:rPr>
                <w:rFonts w:ascii="Calibri" w:hAnsi="Calibri" w:eastAsia="Songti SC"/>
                <w:b/>
                <w:color w:val="A8731B"/>
                <w:sz w:val="36"/>
              </w:rPr>
              <w:t>5</w:t>
            </w:r>
          </w:p>
        </w:tc>
        <w:tc>
          <w:tcPr>
            <w:tcW w:type="dxa" w:w="2340"/>
            <w:vAlign w:val="center"/>
            <w:shd w:fill="F8FAFC"/>
          </w:tcPr>
          <w:p>
            <w:pPr>
              <w:spacing w:after="40"/>
            </w:pPr>
            <w:r>
              <w:rPr>
                <w:rFonts w:ascii="Calibri" w:hAnsi="Calibri" w:eastAsia="Songti SC"/>
                <w:b/>
                <w:color w:val="667085"/>
                <w:sz w:val="17"/>
              </w:rPr>
              <w:t>风险信号</w:t>
              <w:br/>
            </w:r>
            <w:r>
              <w:rPr>
                <w:rFonts w:ascii="Calibri" w:hAnsi="Calibri" w:eastAsia="Songti SC"/>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7-19-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Songti SC"/>
          <w:b/>
          <w:color w:val="285B9D"/>
          <w:sz w:val="21"/>
        </w:rPr>
        <w:t xml:space="preserve">主线判断: </w:t>
      </w:r>
      <w:hyperlink r:id="rId12">
        <w:r>
          <w:rPr>
            <w:color w:val="285B9D"/>
            <w:u w:val="single"/>
            <w:rFonts w:eastAsia="Songti SC" w:ascii="Calibri" w:hAnsi="Calibri"/>
          </w:rPr>
          <w:t>AI 电力篮子相关性风险：公用事业分析师研究记录，2026-07-19 是今日最高权重结论，核心证据来自 未识别，关联 AI 基础设施。</w:t>
        </w:r>
      </w:hyperlink>
    </w:p>
    <w:p>
      <w:pPr>
        <w:spacing w:after="140"/>
        <w:ind w:left="259" w:hanging="259"/>
      </w:pPr>
      <w:r>
        <w:rPr>
          <w:rFonts w:ascii="Calibri" w:hAnsi="Calibri" w:eastAsia="Songti SC"/>
          <w:b/>
          <w:color w:val="285B9D"/>
          <w:sz w:val="21"/>
        </w:rPr>
        <w:t xml:space="preserve">变化信号: </w:t>
      </w:r>
      <w:r>
        <w:rPr>
          <w:rFonts w:ascii="Calibri" w:hAnsi="Calibri" w:eastAsia="Songti SC"/>
          <w:color w:val="111827"/>
          <w:sz w:val="21"/>
        </w:rPr>
        <w:t>通胀 今日 降温，当日计数 74，前一日计数 238。</w:t>
      </w:r>
    </w:p>
    <w:p>
      <w:pPr>
        <w:spacing w:after="140"/>
        <w:ind w:left="259" w:hanging="259"/>
      </w:pPr>
      <w:r>
        <w:rPr>
          <w:rFonts w:ascii="Calibri" w:hAnsi="Calibri" w:eastAsia="Songti SC"/>
          <w:b/>
          <w:color w:val="285B9D"/>
          <w:sz w:val="21"/>
        </w:rPr>
        <w:t xml:space="preserve">风险焦点: </w:t>
      </w:r>
      <w:hyperlink r:id="rId12">
        <w:r>
          <w:rPr>
            <w:color w:val="285B9D"/>
            <w:u w:val="single"/>
            <w:rFonts w:eastAsia="Songti SC" w:ascii="Calibri" w:hAnsi="Calibri"/>
          </w:rPr>
          <w:t>风险矩阵最需要跟踪的是 AI 基础设施：AI 电力篮子相关性风险：公用事业分析师研究记录，2026-07-19。</w:t>
        </w:r>
      </w:hyperlink>
    </w:p>
    <w:p>
      <w:pPr>
        <w:spacing w:after="140"/>
        <w:ind w:left="259" w:hanging="259"/>
      </w:pPr>
      <w:r>
        <w:rPr>
          <w:rFonts w:ascii="Calibri" w:hAnsi="Calibri" w:eastAsia="Songti SC"/>
          <w:b/>
          <w:color w:val="285B9D"/>
          <w:sz w:val="21"/>
        </w:rPr>
        <w:t xml:space="preserve">证据密度: </w:t>
      </w:r>
      <w:hyperlink r:id="rId13">
        <w:r>
          <w:rPr>
            <w:color w:val="285B9D"/>
            <w:u w:val="single"/>
            <w:rFonts w:eastAsia="Songti SC" w:ascii="Calibri" w:hAnsi="Calibri"/>
          </w:rPr>
          <w:t>宏观通胀传导 今日 77 条、近七日 1481 条，风险信号 944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Songti SC"/>
                <w:b/>
                <w:color w:val="7A5A00"/>
                <w:sz w:val="21"/>
              </w:rPr>
              <w:t xml:space="preserve">投资解读: </w:t>
            </w:r>
            <w:r>
              <w:rPr>
                <w:rFonts w:ascii="Calibri" w:hAnsi="Calibri" w:eastAsia="Songti SC"/>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7-19-web-trend.png"/>
                    <pic:cNvPicPr/>
                  </pic:nvPicPr>
                  <pic:blipFill>
                    <a:blip r:embed="rId14"/>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7-19-web-chains.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7-19-web-risk.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7-19-web-heatmap.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Songti SC"/>
          <w:b/>
          <w:i w:val="0"/>
          <w:color w:val="0B2545"/>
          <w:sz w:val="23"/>
        </w:rPr>
        <w:t>1. AI 电力篮子相关性风险：公用事业分析师研究记录，2026-07-19</w:t>
      </w:r>
    </w:p>
    <w:p>
      <w:pPr>
        <w:spacing w:before="0" w:after="40" w:line="264" w:lineRule="auto"/>
      </w:pPr>
      <w:r>
        <w:rPr>
          <w:rFonts w:ascii="Calibri" w:hAnsi="Calibri" w:eastAsia="Songti SC"/>
          <w:b w:val="0"/>
          <w:i w:val="0"/>
          <w:color w:val="667085"/>
          <w:sz w:val="17"/>
        </w:rPr>
        <w:t>未识别 · AI 基础设施 · score 68.7</w:t>
      </w:r>
    </w:p>
    <w:p>
      <w:pPr>
        <w:spacing w:before="0" w:after="100" w:line="264" w:lineRule="auto"/>
      </w:pPr>
      <w:r>
        <w:rPr>
          <w:rFonts w:ascii="Calibri" w:hAnsi="Calibri" w:eastAsia="Songti SC"/>
          <w:b w:val="0"/>
          <w:i w:val="0"/>
          <w:color w:val="334155"/>
          <w:sz w:val="20"/>
        </w:rPr>
        <w:t>截至 2026-07-19，我支持 th T01：AI 算力的核心约束正在从单纯 GPU 转向可交付电力、并网、电网设备、变压器和可靠基荷/调峰电源。眼前的问题不是主线错误，而是 hyperscaler capex、电网设备...</w:t>
      </w:r>
    </w:p>
    <w:p>
      <w:pPr>
        <w:spacing w:before="0" w:after="160" w:line="264" w:lineRule="auto"/>
      </w:pPr>
      <w:r>
        <w:rPr>
          <w:rFonts w:ascii="Calibri" w:hAnsi="Calibri" w:eastAsia="Songti SC"/>
          <w:b w:val="0"/>
          <w:i w:val="0"/>
          <w:color w:val="667085"/>
          <w:sz w:val="17"/>
        </w:rPr>
        <w:t xml:space="preserve">Report: </w:t>
      </w:r>
      <w:hyperlink r:id="rId12">
        <w:r>
          <w:rPr>
            <w:color w:val="285B9D"/>
            <w:u w:val="single"/>
            <w:rFonts w:eastAsia="Songti SC" w:ascii="Calibri" w:hAnsi="Calibri"/>
          </w:rPr>
          <w:t>reports/archive-220e9e773378</w:t>
        </w:r>
      </w:hyperlink>
    </w:p>
    <w:p>
      <w:pPr>
        <w:spacing w:before="0" w:after="40" w:line="264" w:lineRule="auto"/>
      </w:pPr>
      <w:r>
        <w:rPr>
          <w:rFonts w:ascii="Calibri" w:hAnsi="Calibri" w:eastAsia="Songti SC"/>
          <w:b/>
          <w:i w:val="0"/>
          <w:color w:val="0B2545"/>
          <w:sz w:val="23"/>
        </w:rPr>
        <w:t>2. 全球高利率环境下公用事业CapEx放缓风险对电力设备制造商订单韧性的压力测试报告</w:t>
      </w:r>
    </w:p>
    <w:p>
      <w:pPr>
        <w:spacing w:before="0" w:after="40" w:line="264" w:lineRule="auto"/>
      </w:pPr>
      <w:r>
        <w:rPr>
          <w:rFonts w:ascii="Calibri" w:hAnsi="Calibri" w:eastAsia="Songti SC"/>
          <w:b w:val="0"/>
          <w:i w:val="0"/>
          <w:color w:val="667085"/>
          <w:sz w:val="17"/>
        </w:rPr>
        <w:t>未识别 · 宏观通胀传导 · score 49.2</w:t>
      </w:r>
    </w:p>
    <w:p>
      <w:pPr>
        <w:spacing w:before="0" w:after="100" w:line="264" w:lineRule="auto"/>
      </w:pPr>
      <w:r>
        <w:rPr>
          <w:rFonts w:ascii="Calibri" w:hAnsi="Calibri" w:eastAsia="Songti SC"/>
          <w:b w:val="0"/>
          <w:i w:val="0"/>
          <w:color w:val="334155"/>
          <w:sz w:val="20"/>
        </w:rPr>
        <w:t>全球高利率环境下公用事业CapEx放缓风险对电力设备制造商订单韧性的压力测试报告</w:t>
      </w:r>
    </w:p>
    <w:p>
      <w:pPr>
        <w:spacing w:before="0" w:after="160" w:line="264" w:lineRule="auto"/>
      </w:pPr>
      <w:r>
        <w:rPr>
          <w:rFonts w:ascii="Calibri" w:hAnsi="Calibri" w:eastAsia="Songti SC"/>
          <w:b w:val="0"/>
          <w:i w:val="0"/>
          <w:color w:val="667085"/>
          <w:sz w:val="17"/>
        </w:rPr>
        <w:t xml:space="preserve">Report: </w:t>
      </w:r>
      <w:hyperlink r:id="rId18">
        <w:r>
          <w:rPr>
            <w:color w:val="285B9D"/>
            <w:u w:val="single"/>
            <w:rFonts w:eastAsia="Songti SC" w:ascii="Calibri" w:hAnsi="Calibri"/>
          </w:rPr>
          <w:t>reports/archive-3c31184bcf1b</w:t>
        </w:r>
      </w:hyperlink>
    </w:p>
    <w:p>
      <w:pPr>
        <w:spacing w:before="0" w:after="40" w:line="264" w:lineRule="auto"/>
      </w:pPr>
      <w:r>
        <w:rPr>
          <w:rFonts w:ascii="Calibri" w:hAnsi="Calibri" w:eastAsia="Songti SC"/>
          <w:b/>
          <w:i w:val="0"/>
          <w:color w:val="0B2545"/>
          <w:sz w:val="23"/>
        </w:rPr>
        <w:t>3. 前序研究报告 — AI算力基建电力供应弹性与电网瓶颈压力测试，2026-07-19 [D0]</w:t>
      </w:r>
    </w:p>
    <w:p>
      <w:pPr>
        <w:spacing w:before="0" w:after="40" w:line="264" w:lineRule="auto"/>
      </w:pPr>
      <w:r>
        <w:rPr>
          <w:rFonts w:ascii="Calibri" w:hAnsi="Calibri" w:eastAsia="Songti SC"/>
          <w:b w:val="0"/>
          <w:i w:val="0"/>
          <w:color w:val="667085"/>
          <w:sz w:val="17"/>
        </w:rPr>
        <w:t>未识别 · AI 基础设施 · score 49.0</w:t>
      </w:r>
    </w:p>
    <w:p>
      <w:pPr>
        <w:spacing w:before="0" w:after="100" w:line="264" w:lineRule="auto"/>
      </w:pPr>
      <w:r>
        <w:rPr>
          <w:rFonts w:ascii="Calibri" w:hAnsi="Calibri" w:eastAsia="Songti SC"/>
          <w:b w:val="0"/>
          <w:i w:val="0"/>
          <w:color w:val="334155"/>
          <w:sz w:val="20"/>
        </w:rPr>
        <w:t>前序研究报告 — AI算力基建电力供应弹性与电网瓶颈压力测试，2026-07-19 [D0]</w:t>
      </w:r>
    </w:p>
    <w:p>
      <w:pPr>
        <w:spacing w:before="0" w:after="160" w:line="264" w:lineRule="auto"/>
      </w:pPr>
      <w:r>
        <w:rPr>
          <w:rFonts w:ascii="Calibri" w:hAnsi="Calibri" w:eastAsia="Songti SC"/>
          <w:b w:val="0"/>
          <w:i w:val="0"/>
          <w:color w:val="667085"/>
          <w:sz w:val="17"/>
        </w:rPr>
        <w:t xml:space="preserve">Report: </w:t>
      </w:r>
      <w:hyperlink r:id="rId19">
        <w:r>
          <w:rPr>
            <w:color w:val="285B9D"/>
            <w:u w:val="single"/>
            <w:rFonts w:eastAsia="Songti SC" w:ascii="Calibri" w:hAnsi="Calibri"/>
          </w:rPr>
          <w:t>reports/archive-0ed964e923a2</w:t>
        </w:r>
      </w:hyperlink>
    </w:p>
    <w:p>
      <w:pPr>
        <w:spacing w:before="0" w:after="40" w:line="264" w:lineRule="auto"/>
      </w:pPr>
      <w:r>
        <w:rPr>
          <w:rFonts w:ascii="Calibri" w:hAnsi="Calibri" w:eastAsia="Songti SC"/>
          <w:b/>
          <w:i w:val="0"/>
          <w:color w:val="0B2545"/>
          <w:sz w:val="23"/>
        </w:rPr>
        <w:t>4. AI算力电力需求增长与电力设备出口关税重构的边际风险分析</w:t>
      </w:r>
    </w:p>
    <w:p>
      <w:pPr>
        <w:spacing w:before="0" w:after="40" w:line="264" w:lineRule="auto"/>
      </w:pPr>
      <w:r>
        <w:rPr>
          <w:rFonts w:ascii="Calibri" w:hAnsi="Calibri" w:eastAsia="Songti SC"/>
          <w:b w:val="0"/>
          <w:i w:val="0"/>
          <w:color w:val="667085"/>
          <w:sz w:val="17"/>
        </w:rPr>
        <w:t>未识别 · AI 基础设施 · score 47.3</w:t>
      </w:r>
    </w:p>
    <w:p>
      <w:pPr>
        <w:spacing w:before="0" w:after="100" w:line="264" w:lineRule="auto"/>
      </w:pPr>
      <w:r>
        <w:rPr>
          <w:rFonts w:ascii="Calibri" w:hAnsi="Calibri" w:eastAsia="Songti SC"/>
          <w:b w:val="0"/>
          <w:i w:val="0"/>
          <w:color w:val="334155"/>
          <w:sz w:val="20"/>
        </w:rPr>
        <w:t>报告日期： 2026-07-19 分析师： ai-infrastructure-analyst（AI基础设施分析师） 研究记录 立场： 压力测试（stress-test）—— 证实关税计税基础重构对高毛利出口标的之致命挤压，并实质性修...</w:t>
      </w:r>
    </w:p>
    <w:p>
      <w:pPr>
        <w:spacing w:before="0" w:after="160" w:line="264" w:lineRule="auto"/>
      </w:pPr>
      <w:r>
        <w:rPr>
          <w:rFonts w:ascii="Calibri" w:hAnsi="Calibri" w:eastAsia="Songti SC"/>
          <w:b w:val="0"/>
          <w:i w:val="0"/>
          <w:color w:val="667085"/>
          <w:sz w:val="17"/>
        </w:rPr>
        <w:t xml:space="preserve">Report: </w:t>
      </w:r>
      <w:hyperlink r:id="rId20">
        <w:r>
          <w:rPr>
            <w:color w:val="285B9D"/>
            <w:u w:val="single"/>
            <w:rFonts w:eastAsia="Songti SC" w:ascii="Calibri" w:hAnsi="Calibri"/>
          </w:rPr>
          <w:t>reports/archive-875dada5c5c0</w:t>
        </w:r>
      </w:hyperlink>
    </w:p>
    <w:p>
      <w:pPr>
        <w:spacing w:before="0" w:after="40" w:line="264" w:lineRule="auto"/>
      </w:pPr>
      <w:r>
        <w:rPr>
          <w:rFonts w:ascii="Calibri" w:hAnsi="Calibri" w:eastAsia="Songti SC"/>
          <w:b/>
          <w:i w:val="0"/>
          <w:color w:val="0B2545"/>
          <w:sz w:val="23"/>
        </w:rPr>
        <w:t>5. 全球通胀预期及实际利率重定价对能源价格与供应链利润的影响分析</w:t>
      </w:r>
    </w:p>
    <w:p>
      <w:pPr>
        <w:spacing w:before="0" w:after="40" w:line="264" w:lineRule="auto"/>
      </w:pPr>
      <w:r>
        <w:rPr>
          <w:rFonts w:ascii="Calibri" w:hAnsi="Calibri" w:eastAsia="Songti SC"/>
          <w:b w:val="0"/>
          <w:i w:val="0"/>
          <w:color w:val="667085"/>
          <w:sz w:val="17"/>
        </w:rPr>
        <w:t>未识别 · 宏观通胀传导 · score 47.2</w:t>
      </w:r>
    </w:p>
    <w:p>
      <w:pPr>
        <w:spacing w:before="0" w:after="100" w:line="264" w:lineRule="auto"/>
      </w:pPr>
      <w:r>
        <w:rPr>
          <w:rFonts w:ascii="Calibri" w:hAnsi="Calibri" w:eastAsia="Songti SC"/>
          <w:b w:val="0"/>
          <w:i w:val="0"/>
          <w:color w:val="334155"/>
          <w:sz w:val="20"/>
        </w:rPr>
        <w:t>研究记录 — 能源行业分析师 — 工作日期：2026-07-19 (亚洲/新加坡) 会期主题：地缘风险溢价与基本面供应恢复的博弈 当前立场：support — 支持全球流动性重定价抑制长周期供应扩张并驱动资本...</w:t>
      </w:r>
    </w:p>
    <w:p>
      <w:pPr>
        <w:spacing w:before="0" w:after="160" w:line="264" w:lineRule="auto"/>
      </w:pPr>
      <w:r>
        <w:rPr>
          <w:rFonts w:ascii="Calibri" w:hAnsi="Calibri" w:eastAsia="Songti SC"/>
          <w:b w:val="0"/>
          <w:i w:val="0"/>
          <w:color w:val="667085"/>
          <w:sz w:val="17"/>
        </w:rPr>
        <w:t xml:space="preserve">Report: </w:t>
      </w:r>
      <w:hyperlink r:id="rId21">
        <w:r>
          <w:rPr>
            <w:color w:val="285B9D"/>
            <w:u w:val="single"/>
            <w:rFonts w:eastAsia="Songti SC" w:ascii="Calibri" w:hAnsi="Calibri"/>
          </w:rPr>
          <w:t>reports/archive-f6de1aa04734</w:t>
        </w:r>
      </w:hyperlink>
    </w:p>
    <w:p>
      <w:pPr>
        <w:spacing w:before="0" w:after="40" w:line="264" w:lineRule="auto"/>
      </w:pPr>
      <w:r>
        <w:rPr>
          <w:rFonts w:ascii="Calibri" w:hAnsi="Calibri" w:eastAsia="Songti SC"/>
          <w:b/>
          <w:i w:val="0"/>
          <w:color w:val="0B2545"/>
          <w:sz w:val="23"/>
        </w:rPr>
        <w:t>6. A股电力稀缺与电网出海业绩兑现下的仓位重构与定价分流研究报告</w:t>
      </w:r>
    </w:p>
    <w:p>
      <w:pPr>
        <w:spacing w:before="0" w:after="40" w:line="264" w:lineRule="auto"/>
      </w:pPr>
      <w:r>
        <w:rPr>
          <w:rFonts w:ascii="Calibri" w:hAnsi="Calibri" w:eastAsia="Songti SC"/>
          <w:b w:val="0"/>
          <w:i w:val="0"/>
          <w:color w:val="667085"/>
          <w:sz w:val="17"/>
        </w:rPr>
        <w:t>未识别 · 电力与电网 · score 45.9</w:t>
      </w:r>
    </w:p>
    <w:p>
      <w:pPr>
        <w:spacing w:before="0" w:after="100" w:line="264" w:lineRule="auto"/>
      </w:pPr>
      <w:r>
        <w:rPr>
          <w:rFonts w:ascii="Calibri" w:hAnsi="Calibri" w:eastAsia="Songti SC"/>
          <w:b w:val="0"/>
          <w:i w:val="0"/>
          <w:color w:val="334155"/>
          <w:sz w:val="20"/>
        </w:rPr>
        <w:t>分析师： 首席策略师 ( chief-strategist ) 工作日期： 2026-07-19 Asia/Singapore 立场： 支持 (Support) — 认为在2026年下半年电网设备出海订单业绩进入集中兑现期的背景下，A股防御配置必须...</w:t>
      </w:r>
    </w:p>
    <w:p>
      <w:pPr>
        <w:spacing w:before="0" w:after="160" w:line="264" w:lineRule="auto"/>
      </w:pPr>
      <w:r>
        <w:rPr>
          <w:rFonts w:ascii="Calibri" w:hAnsi="Calibri" w:eastAsia="Songti SC"/>
          <w:b w:val="0"/>
          <w:i w:val="0"/>
          <w:color w:val="667085"/>
          <w:sz w:val="17"/>
        </w:rPr>
        <w:t xml:space="preserve">Report: </w:t>
      </w:r>
      <w:hyperlink r:id="rId22">
        <w:r>
          <w:rPr>
            <w:color w:val="285B9D"/>
            <w:u w:val="single"/>
            <w:rFonts w:eastAsia="Songti SC" w:ascii="Calibri" w:hAnsi="Calibri"/>
          </w:rPr>
          <w:t>reports/archive-cc07f13b6af5</w:t>
        </w:r>
      </w:hyperlink>
    </w:p>
    <w:p>
      <w:pPr>
        <w:pStyle w:val="Heading1"/>
      </w:pPr>
      <w:r>
        <w:t>4. 重点跟踪事项</w:t>
      </w:r>
    </w:p>
    <w:p>
      <w:pPr>
        <w:spacing w:before="0" w:after="40" w:line="264" w:lineRule="auto"/>
      </w:pPr>
      <w:r>
        <w:rPr>
          <w:rFonts w:ascii="Calibri" w:hAnsi="Calibri" w:eastAsia="Songti SC"/>
          <w:b/>
          <w:i w:val="0"/>
          <w:color w:val="0B2545"/>
          <w:sz w:val="22"/>
        </w:rPr>
        <w:t>AI 电力篮子相关性风险：公用事业分析师研究记录，2026-07-19</w:t>
      </w:r>
    </w:p>
    <w:p>
      <w:pPr>
        <w:spacing w:before="0" w:after="60" w:line="264" w:lineRule="auto"/>
      </w:pPr>
      <w:r>
        <w:rPr>
          <w:rFonts w:ascii="Calibri" w:hAnsi="Calibri" w:eastAsia="Songti SC"/>
          <w:b w:val="0"/>
          <w:i w:val="0"/>
          <w:color w:val="334155"/>
          <w:sz w:val="20"/>
        </w:rPr>
        <w:t>AI 基础设施，影响 5 / 概率 3</w:t>
      </w:r>
    </w:p>
    <w:p>
      <w:pPr>
        <w:spacing w:before="0" w:after="160" w:line="264" w:lineRule="auto"/>
      </w:pPr>
      <w:r>
        <w:rPr>
          <w:rFonts w:ascii="Calibri" w:hAnsi="Calibri" w:eastAsia="Songti SC"/>
          <w:b w:val="0"/>
          <w:i w:val="0"/>
          <w:color w:val="667085"/>
          <w:sz w:val="17"/>
        </w:rPr>
        <w:t xml:space="preserve">Report: </w:t>
      </w:r>
      <w:hyperlink r:id="rId12">
        <w:r>
          <w:rPr>
            <w:color w:val="285B9D"/>
            <w:u w:val="single"/>
            <w:rFonts w:eastAsia="Songti SC" w:ascii="Calibri" w:hAnsi="Calibri"/>
          </w:rPr>
          <w:t>reports/archive-220e9e773378</w:t>
        </w:r>
      </w:hyperlink>
    </w:p>
    <w:p>
      <w:pPr>
        <w:spacing w:before="0" w:after="40" w:line="264" w:lineRule="auto"/>
      </w:pPr>
      <w:r>
        <w:rPr>
          <w:rFonts w:ascii="Calibri" w:hAnsi="Calibri" w:eastAsia="Songti SC"/>
          <w:b/>
          <w:i w:val="0"/>
          <w:color w:val="0B2545"/>
          <w:sz w:val="22"/>
        </w:rPr>
        <w:t>2026-07-18 — 研究记录 02：AI 算力基础设施与能源瓶颈</w:t>
      </w:r>
    </w:p>
    <w:p>
      <w:pPr>
        <w:spacing w:before="0" w:after="60" w:line="264" w:lineRule="auto"/>
      </w:pPr>
      <w:r>
        <w:rPr>
          <w:rFonts w:ascii="Calibri" w:hAnsi="Calibri" w:eastAsia="Songti SC"/>
          <w:b w:val="0"/>
          <w:i w:val="0"/>
          <w:color w:val="334155"/>
          <w:sz w:val="20"/>
        </w:rPr>
        <w:t>AI 基础设施，影响 5 / 概率 3</w:t>
      </w:r>
    </w:p>
    <w:p>
      <w:pPr>
        <w:spacing w:before="0" w:after="160" w:line="264" w:lineRule="auto"/>
      </w:pPr>
      <w:r>
        <w:rPr>
          <w:rFonts w:ascii="Calibri" w:hAnsi="Calibri" w:eastAsia="Songti SC"/>
          <w:b w:val="0"/>
          <w:i w:val="0"/>
          <w:color w:val="667085"/>
          <w:sz w:val="17"/>
        </w:rPr>
        <w:t xml:space="preserve">Report: </w:t>
      </w:r>
      <w:hyperlink r:id="rId23">
        <w:r>
          <w:rPr>
            <w:color w:val="285B9D"/>
            <w:u w:val="single"/>
            <w:rFonts w:eastAsia="Songti SC" w:ascii="Calibri" w:hAnsi="Calibri"/>
          </w:rPr>
          <w:t>reports/archive-29627640e1a7</w:t>
        </w:r>
      </w:hyperlink>
    </w:p>
    <w:p>
      <w:pPr>
        <w:spacing w:before="0" w:after="40" w:line="264" w:lineRule="auto"/>
      </w:pPr>
      <w:r>
        <w:rPr>
          <w:rFonts w:ascii="Calibri" w:hAnsi="Calibri" w:eastAsia="Songti SC"/>
          <w:b/>
          <w:i w:val="0"/>
          <w:color w:val="0B2545"/>
          <w:sz w:val="22"/>
        </w:rPr>
        <w:t>挑战："Exit code 0"</w:t>
      </w:r>
    </w:p>
    <w:p>
      <w:pPr>
        <w:spacing w:before="0" w:after="60" w:line="264" w:lineRule="auto"/>
      </w:pPr>
      <w:r>
        <w:rPr>
          <w:rFonts w:ascii="Calibri" w:hAnsi="Calibri" w:eastAsia="Songti SC"/>
          <w:b w:val="0"/>
          <w:i w:val="0"/>
          <w:color w:val="334155"/>
          <w:sz w:val="20"/>
        </w:rPr>
        <w:t>AI 基础设施，影响 5 / 概率 4</w:t>
      </w:r>
    </w:p>
    <w:p>
      <w:pPr>
        <w:spacing w:before="0" w:after="160" w:line="264" w:lineRule="auto"/>
      </w:pPr>
      <w:r>
        <w:rPr>
          <w:rFonts w:ascii="Calibri" w:hAnsi="Calibri" w:eastAsia="Songti SC"/>
          <w:b w:val="0"/>
          <w:i w:val="0"/>
          <w:color w:val="667085"/>
          <w:sz w:val="17"/>
        </w:rPr>
        <w:t xml:space="preserve">Report: </w:t>
      </w:r>
      <w:hyperlink r:id="rId24">
        <w:r>
          <w:rPr>
            <w:color w:val="285B9D"/>
            <w:u w:val="single"/>
            <w:rFonts w:eastAsia="Songti SC" w:ascii="Calibri" w:hAnsi="Calibri"/>
          </w:rPr>
          <w:t>reports/archive-349ffb9e27d6</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Songti SC"/>
                <w:b/>
                <w:color w:val="475569"/>
                <w:sz w:val="18"/>
              </w:rPr>
              <w:t>报告</w:t>
            </w:r>
          </w:p>
        </w:tc>
        <w:tc>
          <w:tcPr>
            <w:tcW w:type="dxa" w:w="1560"/>
            <w:vAlign w:val="center"/>
            <w:shd w:fill="F2F4F7"/>
          </w:tcPr>
          <w:p>
            <w:pPr>
              <w:spacing w:before="0" w:after="0"/>
              <w:jc w:val="center"/>
            </w:pPr>
            <w:r/>
            <w:r>
              <w:rPr>
                <w:rFonts w:ascii="Calibri" w:hAnsi="Calibri" w:eastAsia="Songti SC"/>
                <w:b/>
                <w:color w:val="475569"/>
                <w:sz w:val="18"/>
              </w:rPr>
              <w:t>分析师</w:t>
            </w:r>
          </w:p>
        </w:tc>
        <w:tc>
          <w:tcPr>
            <w:tcW w:type="dxa" w:w="1680"/>
            <w:vAlign w:val="center"/>
            <w:shd w:fill="F2F4F7"/>
          </w:tcPr>
          <w:p>
            <w:pPr>
              <w:spacing w:before="0" w:after="0"/>
              <w:jc w:val="center"/>
            </w:pPr>
            <w:r/>
            <w:r>
              <w:rPr>
                <w:rFonts w:ascii="Calibri" w:hAnsi="Calibri" w:eastAsia="Songti SC"/>
                <w:b/>
                <w:color w:val="475569"/>
                <w:sz w:val="18"/>
              </w:rPr>
              <w:t>行业链</w:t>
            </w:r>
          </w:p>
        </w:tc>
        <w:tc>
          <w:tcPr>
            <w:tcW w:type="dxa" w:w="900"/>
            <w:vAlign w:val="center"/>
            <w:shd w:fill="F2F4F7"/>
          </w:tcPr>
          <w:p>
            <w:pPr>
              <w:spacing w:before="0" w:after="0"/>
              <w:jc w:val="center"/>
            </w:pPr>
            <w:r/>
            <w:r>
              <w:rPr>
                <w:rFonts w:ascii="Calibri" w:hAnsi="Calibri" w:eastAsia="Songti SC"/>
                <w:b/>
                <w:color w:val="475569"/>
                <w:sz w:val="18"/>
              </w:rPr>
              <w:t>评分</w:t>
            </w:r>
          </w:p>
        </w:tc>
        <w:tc>
          <w:tcPr>
            <w:tcW w:type="dxa" w:w="1500"/>
            <w:vAlign w:val="center"/>
            <w:shd w:fill="F2F4F7"/>
          </w:tcPr>
          <w:p>
            <w:pPr>
              <w:spacing w:before="0" w:after="0"/>
              <w:jc w:val="center"/>
            </w:pPr>
            <w:r/>
            <w:r>
              <w:rPr>
                <w:rFonts w:ascii="Calibri" w:hAnsi="Calibri" w:eastAsia="Songti SC"/>
                <w:b/>
                <w:color w:val="475569"/>
                <w:sz w:val="18"/>
              </w:rPr>
              <w:t>风险</w:t>
            </w:r>
          </w:p>
        </w:tc>
      </w:tr>
      <w:tr>
        <w:tc>
          <w:tcPr>
            <w:tcW w:type="dxa" w:w="3720"/>
            <w:vAlign w:val="center"/>
          </w:tcPr>
          <w:p>
            <w:pPr>
              <w:spacing w:before="0" w:after="0"/>
            </w:pPr>
            <w:r/>
            <w:r>
              <w:rPr>
                <w:rFonts w:ascii="Calibri" w:hAnsi="Calibri" w:eastAsia="Songti SC"/>
                <w:b w:val="0"/>
                <w:color w:val="111827"/>
                <w:sz w:val="17"/>
              </w:rPr>
              <w:t>AI 电力篮子相关性风险：公用事业分析师研究记录，2026-07-19</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68.7</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全球高利率环境下公用事业CapEx放缓风险对电力设备制造商订单韧性的压力测试报告</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49.2</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前序研究报告 — AI算力基建电力供应弹性与电网瓶颈压力测试，2026-07-19 [D0]</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49.0</w:t>
            </w:r>
          </w:p>
        </w:tc>
        <w:tc>
          <w:tcPr>
            <w:tcW w:type="dxa" w:w="1500"/>
            <w:vAlign w:val="center"/>
          </w:tcPr>
          <w:p>
            <w:pPr>
              <w:spacing w:before="0" w:after="0"/>
              <w:jc w:val="center"/>
            </w:pPr>
            <w:r/>
            <w:r>
              <w:rPr>
                <w:rFonts w:ascii="Calibri" w:hAnsi="Calibri" w:eastAsia="Songti SC"/>
                <w:b w:val="0"/>
                <w:color w:val="111827"/>
                <w:sz w:val="16"/>
              </w:rPr>
              <w:t>风险 3</w:t>
            </w:r>
          </w:p>
        </w:tc>
      </w:tr>
      <w:tr>
        <w:tc>
          <w:tcPr>
            <w:tcW w:type="dxa" w:w="3720"/>
            <w:vAlign w:val="center"/>
          </w:tcPr>
          <w:p>
            <w:pPr>
              <w:spacing w:before="0" w:after="0"/>
            </w:pPr>
            <w:r/>
            <w:r>
              <w:rPr>
                <w:rFonts w:ascii="Calibri" w:hAnsi="Calibri" w:eastAsia="Songti SC"/>
                <w:b w:val="0"/>
                <w:color w:val="111827"/>
                <w:sz w:val="17"/>
              </w:rPr>
              <w:t>AI算力电力需求增长与电力设备出口关税重构的边际风险分析</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47.3</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全球通胀预期及实际利率重定价对能源价格与供应链利润的影响分析</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47.2</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A股电力稀缺与电网出海业绩兑现下的仓位重构与定价分流研究报告</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电力与电网</w:t>
            </w:r>
          </w:p>
        </w:tc>
        <w:tc>
          <w:tcPr>
            <w:tcW w:type="dxa" w:w="900"/>
            <w:vAlign w:val="center"/>
          </w:tcPr>
          <w:p>
            <w:pPr>
              <w:spacing w:before="0" w:after="0"/>
              <w:jc w:val="center"/>
            </w:pPr>
            <w:r/>
            <w:r>
              <w:rPr>
                <w:rFonts w:ascii="Calibri" w:hAnsi="Calibri" w:eastAsia="Songti SC"/>
                <w:b/>
                <w:color w:val="111827"/>
                <w:sz w:val="17"/>
              </w:rPr>
              <w:t>45.9</w:t>
            </w:r>
          </w:p>
        </w:tc>
        <w:tc>
          <w:tcPr>
            <w:tcW w:type="dxa" w:w="1500"/>
            <w:vAlign w:val="center"/>
          </w:tcPr>
          <w:p>
            <w:pPr>
              <w:spacing w:before="0" w:after="0"/>
              <w:jc w:val="center"/>
            </w:pPr>
            <w:r/>
            <w:r>
              <w:rPr>
                <w:rFonts w:ascii="Calibri" w:hAnsi="Calibri" w:eastAsia="Songti SC"/>
                <w:b w:val="0"/>
                <w:color w:val="111827"/>
                <w:sz w:val="16"/>
              </w:rPr>
              <w:t>常规</w:t>
            </w:r>
          </w:p>
        </w:tc>
      </w:tr>
      <w:tr>
        <w:tc>
          <w:tcPr>
            <w:tcW w:type="dxa" w:w="3720"/>
            <w:vAlign w:val="center"/>
          </w:tcPr>
          <w:p>
            <w:pPr>
              <w:spacing w:before="0" w:after="0"/>
            </w:pPr>
            <w:r/>
            <w:r>
              <w:rPr>
                <w:rFonts w:ascii="Calibri" w:hAnsi="Calibri" w:eastAsia="Songti SC"/>
                <w:b w:val="0"/>
                <w:color w:val="111827"/>
                <w:sz w:val="17"/>
              </w:rPr>
              <w:t>AI 基础设施分析师研究记录：Hyperscaler Capex 质量拆分与电力实物需求传导压力测试</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45.8</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AI基础设施与电网并网瓶颈：截至2026-07-19的物理兑现验证</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电力与电网</w:t>
            </w:r>
          </w:p>
        </w:tc>
        <w:tc>
          <w:tcPr>
            <w:tcW w:type="dxa" w:w="900"/>
            <w:vAlign w:val="center"/>
          </w:tcPr>
          <w:p>
            <w:pPr>
              <w:spacing w:before="0" w:after="0"/>
              <w:jc w:val="center"/>
            </w:pPr>
            <w:r/>
            <w:r>
              <w:rPr>
                <w:rFonts w:ascii="Calibri" w:hAnsi="Calibri" w:eastAsia="Songti SC"/>
                <w:b/>
                <w:color w:val="111827"/>
                <w:sz w:val="17"/>
              </w:rPr>
              <w:t>45.6</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记忆体降价后的 AI 数据中心电力采购、并网排队与需量电费再定价</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45.5</w:t>
            </w:r>
          </w:p>
        </w:tc>
        <w:tc>
          <w:tcPr>
            <w:tcW w:type="dxa" w:w="1500"/>
            <w:vAlign w:val="center"/>
          </w:tcPr>
          <w:p>
            <w:pPr>
              <w:spacing w:before="0" w:after="0"/>
              <w:jc w:val="center"/>
            </w:pPr>
            <w:r/>
            <w:r>
              <w:rPr>
                <w:rFonts w:ascii="Calibri" w:hAnsi="Calibri" w:eastAsia="Songti SC"/>
                <w:b w:val="0"/>
                <w:color w:val="111827"/>
                <w:sz w:val="16"/>
              </w:rPr>
              <w:t>常规</w:t>
            </w:r>
          </w:p>
        </w:tc>
      </w:tr>
      <w:tr>
        <w:tc>
          <w:tcPr>
            <w:tcW w:type="dxa" w:w="3720"/>
            <w:vAlign w:val="center"/>
          </w:tcPr>
          <w:p>
            <w:pPr>
              <w:spacing w:before="0" w:after="0"/>
            </w:pPr>
            <w:r/>
            <w:r>
              <w:rPr>
                <w:rFonts w:ascii="Calibri" w:hAnsi="Calibri" w:eastAsia="Songti SC"/>
                <w:b w:val="0"/>
                <w:color w:val="111827"/>
                <w:sz w:val="17"/>
              </w:rPr>
              <w:t>全球贸易保护壁垒与美债高利率对电网设备出海持续性及供应链安全的冲击评估研究报告</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45.2</w:t>
            </w:r>
          </w:p>
        </w:tc>
        <w:tc>
          <w:tcPr>
            <w:tcW w:type="dxa" w:w="1500"/>
            <w:vAlign w:val="center"/>
          </w:tcPr>
          <w:p>
            <w:pPr>
              <w:spacing w:before="0" w:after="0"/>
              <w:jc w:val="center"/>
            </w:pPr>
            <w:r/>
            <w:r>
              <w:rPr>
                <w:rFonts w:ascii="Calibri" w:hAnsi="Calibri" w:eastAsia="Songti SC"/>
                <w:b w:val="0"/>
                <w:color w:val="111827"/>
                <w:sz w:val="16"/>
              </w:rPr>
              <w:t>常规</w:t>
            </w:r>
          </w:p>
        </w:tc>
      </w:tr>
      <w:tr>
        <w:tc>
          <w:tcPr>
            <w:tcW w:type="dxa" w:w="3720"/>
            <w:vAlign w:val="center"/>
          </w:tcPr>
          <w:p>
            <w:pPr>
              <w:spacing w:before="0" w:after="0"/>
            </w:pPr>
            <w:r/>
            <w:r>
              <w:rPr>
                <w:rFonts w:ascii="Calibri" w:hAnsi="Calibri" w:eastAsia="Songti SC"/>
                <w:b w:val="0"/>
                <w:color w:val="111827"/>
                <w:sz w:val="17"/>
              </w:rPr>
              <w:t>电网设备制造商在4万亿元订单周期下的毛利压缩与成本结构</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45.1</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前序研究 — 再贷款与地方基金政策桥下，半导体设备与材料capex转化的项目级核验</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44.9</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从 GPU 硬件 Beta 到电力物理瓶颈：AI 产业链中上游的资产配置与风格旋转</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44.9</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全局风险预算与再平衡执行框架：将重构后的 AI 电力哑铃组合纳入执行</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44.6</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增长惊吓与通胀粘性下的美联储、欧洲央行政策路径压力测试</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44.5</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成本推动型通胀下能源板块的利润弹性、监管干预与盈利反转风险</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44.1</w:t>
            </w:r>
          </w:p>
        </w:tc>
        <w:tc>
          <w:tcPr>
            <w:tcW w:type="dxa" w:w="1500"/>
            <w:vAlign w:val="center"/>
          </w:tcPr>
          <w:p>
            <w:pPr>
              <w:spacing w:before="0" w:after="0"/>
              <w:jc w:val="center"/>
            </w:pPr>
            <w:r/>
            <w:r>
              <w:rPr>
                <w:rFonts w:ascii="Calibri" w:hAnsi="Calibri" w:eastAsia="Songti SC"/>
                <w:b w:val="0"/>
                <w:color w:val="111827"/>
                <w:sz w:val="16"/>
              </w:rPr>
              <w:t>风险 3</w:t>
            </w:r>
          </w:p>
        </w:tc>
      </w:tr>
      <w:tr>
        <w:tc>
          <w:tcPr>
            <w:tcW w:type="dxa" w:w="3720"/>
            <w:vAlign w:val="center"/>
          </w:tcPr>
          <w:p>
            <w:pPr>
              <w:spacing w:before="0" w:after="0"/>
            </w:pPr>
            <w:r/>
            <w:r>
              <w:rPr>
                <w:rFonts w:ascii="Calibri" w:hAnsi="Calibri" w:eastAsia="Songti SC"/>
                <w:b w:val="0"/>
                <w:color w:val="111827"/>
                <w:sz w:val="17"/>
              </w:rPr>
              <w:t>电力红利去溢价 / 多资产利率对冲研究链的终期质检与出版合规审查</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43.6</w:t>
            </w:r>
          </w:p>
        </w:tc>
        <w:tc>
          <w:tcPr>
            <w:tcW w:type="dxa" w:w="1500"/>
            <w:vAlign w:val="center"/>
          </w:tcPr>
          <w:p>
            <w:pPr>
              <w:spacing w:before="0" w:after="0"/>
              <w:jc w:val="center"/>
            </w:pPr>
            <w:r/>
            <w:r>
              <w:rPr>
                <w:rFonts w:ascii="Calibri" w:hAnsi="Calibri" w:eastAsia="Songti SC"/>
                <w:b w:val="0"/>
                <w:color w:val="111827"/>
                <w:sz w:val="16"/>
              </w:rPr>
              <w:t>常规</w:t>
            </w:r>
          </w:p>
        </w:tc>
      </w:tr>
      <w:tr>
        <w:tc>
          <w:tcPr>
            <w:tcW w:type="dxa" w:w="3720"/>
            <w:vAlign w:val="center"/>
          </w:tcPr>
          <w:p>
            <w:pPr>
              <w:spacing w:before="0" w:after="0"/>
            </w:pPr>
            <w:r/>
            <w:r>
              <w:rPr>
                <w:rFonts w:ascii="Calibri" w:hAnsi="Calibri" w:eastAsia="Songti SC"/>
                <w:b w:val="0"/>
                <w:color w:val="111827"/>
                <w:sz w:val="17"/>
              </w:rPr>
              <w:t>通胀波动率下行能否修复股债负相关：+0.65 相关性制度的持续性判断</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43.0</w:t>
            </w:r>
          </w:p>
        </w:tc>
        <w:tc>
          <w:tcPr>
            <w:tcW w:type="dxa" w:w="1500"/>
            <w:vAlign w:val="center"/>
          </w:tcPr>
          <w:p>
            <w:pPr>
              <w:spacing w:before="0" w:after="0"/>
              <w:jc w:val="center"/>
            </w:pPr>
            <w:r/>
            <w:r>
              <w:rPr>
                <w:rFonts w:ascii="Calibri" w:hAnsi="Calibri" w:eastAsia="Songti SC"/>
                <w:b w:val="0"/>
                <w:color w:val="111827"/>
                <w:sz w:val="16"/>
              </w:rPr>
              <w:t>风险 3</w:t>
            </w:r>
          </w:p>
        </w:tc>
      </w:tr>
    </w:tbl>
    <w:p>
      <w:pPr>
        <w:spacing w:before="0" w:after="160" w:line="264" w:lineRule="auto"/>
      </w:pPr>
      <w:r>
        <w:rPr>
          <w:rFonts w:ascii="Calibri" w:hAnsi="Calibri" w:eastAsia="Songti SC"/>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Songti SC"/>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Songti SC"/>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Songti SC"/>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Songti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Songti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Song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Songti S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Songti SC"/>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220e9e773378" TargetMode="External"/><Relationship Id="rId13" Type="http://schemas.openxmlformats.org/officeDocument/2006/relationships/hyperlink" Target="reports/archive-e6c8e28134c6"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reports/archive-3c31184bcf1b" TargetMode="External"/><Relationship Id="rId19" Type="http://schemas.openxmlformats.org/officeDocument/2006/relationships/hyperlink" Target="reports/archive-0ed964e923a2" TargetMode="External"/><Relationship Id="rId20" Type="http://schemas.openxmlformats.org/officeDocument/2006/relationships/hyperlink" Target="reports/archive-875dada5c5c0" TargetMode="External"/><Relationship Id="rId21" Type="http://schemas.openxmlformats.org/officeDocument/2006/relationships/hyperlink" Target="reports/archive-f6de1aa04734" TargetMode="External"/><Relationship Id="rId22" Type="http://schemas.openxmlformats.org/officeDocument/2006/relationships/hyperlink" Target="reports/archive-cc07f13b6af5" TargetMode="External"/><Relationship Id="rId23" Type="http://schemas.openxmlformats.org/officeDocument/2006/relationships/hyperlink" Target="reports/archive-29627640e1a7" TargetMode="External"/><Relationship Id="rId24" Type="http://schemas.openxmlformats.org/officeDocument/2006/relationships/hyperlink" Target="reports/archive-349ffb9e27d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2026-07-19</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