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360"/>
        <w:jc w:val="center"/>
      </w:pPr>
      <w:r>
        <w:rPr>
          <w:rFonts w:ascii="Calibri" w:hAnsi="Calibri" w:eastAsia="Hiragino Sans GB"/>
          <w:b/>
          <w:color w:val="D85B16"/>
          <w:sz w:val="18"/>
        </w:rPr>
        <w:t>AI INSTITUTE · WEEKLY RESEARCH</w:t>
      </w:r>
    </w:p>
    <w:p>
      <w:pPr>
        <w:spacing w:after="160"/>
        <w:jc w:val="center"/>
      </w:pPr>
      <w:r>
        <w:rPr>
          <w:rFonts w:ascii="Calibri" w:hAnsi="Calibri" w:eastAsia="Hiragino Sans GB"/>
          <w:b/>
          <w:color w:val="111111"/>
          <w:sz w:val="60"/>
        </w:rPr>
        <w:t>AI Institute 周度研究报告</w:t>
      </w:r>
    </w:p>
    <w:p>
      <w:pPr>
        <w:spacing w:after="480"/>
        <w:jc w:val="center"/>
      </w:pPr>
      <w:r>
        <w:rPr>
          <w:rFonts w:ascii="Calibri" w:hAnsi="Calibri" w:eastAsia="Hiragino Sans GB"/>
          <w:b/>
          <w:color w:val="5E6268"/>
          <w:sz w:val="28"/>
        </w:rPr>
        <w:t>2026-W29 AI Institute 周度投资研究全景</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340"/>
        <w:gridCol w:w="2340"/>
        <w:gridCol w:w="2340"/>
        <w:gridCol w:w="2340"/>
      </w:tblGrid>
      <w:tr>
        <w:trPr>
          <w:cantSplit/>
        </w:trPr>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WEEK</w:t>
            </w:r>
          </w:p>
          <w:p>
            <w:pPr>
              <w:spacing w:after="0"/>
              <w:jc w:val="center"/>
            </w:pPr>
            <w:r>
              <w:rPr>
                <w:rFonts w:ascii="Calibri" w:hAnsi="Calibri" w:eastAsia="Hiragino Sans GB"/>
                <w:b/>
                <w:color w:val="111111"/>
                <w:sz w:val="19"/>
              </w:rPr>
              <w:t>2026-W29</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WINDOW</w:t>
            </w:r>
          </w:p>
          <w:p>
            <w:pPr>
              <w:spacing w:after="0"/>
              <w:jc w:val="center"/>
            </w:pPr>
            <w:r>
              <w:rPr>
                <w:rFonts w:ascii="Calibri" w:hAnsi="Calibri" w:eastAsia="Hiragino Sans GB"/>
                <w:b/>
                <w:color w:val="111111"/>
                <w:sz w:val="19"/>
              </w:rPr>
              <w:t>2026-07-13 → 2026-07-19</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EDITION</w:t>
            </w:r>
          </w:p>
          <w:p>
            <w:pPr>
              <w:spacing w:after="0"/>
              <w:jc w:val="center"/>
            </w:pPr>
            <w:r>
              <w:rPr>
                <w:rFonts w:ascii="Calibri" w:hAnsi="Calibri" w:eastAsia="Hiragino Sans GB"/>
                <w:b/>
                <w:color w:val="111111"/>
                <w:sz w:val="19"/>
              </w:rPr>
              <w:t>rolling · REV 10</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QUALITY</w:t>
            </w:r>
          </w:p>
          <w:p>
            <w:pPr>
              <w:spacing w:after="0"/>
              <w:jc w:val="center"/>
            </w:pPr>
            <w:r>
              <w:rPr>
                <w:rFonts w:ascii="Calibri" w:hAnsi="Calibri" w:eastAsia="Hiragino Sans GB"/>
                <w:b/>
                <w:color w:val="111111"/>
                <w:sz w:val="19"/>
              </w:rPr>
              <w:t>pass_with_warnings · 50</w:t>
            </w:r>
          </w:p>
        </w:tc>
      </w:tr>
    </w:tbl>
    <w:p>
      <w:pPr>
        <w:spacing w:after="80"/>
      </w:pP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360"/>
      </w:tblGrid>
      <w:tr>
        <w:trPr>
          <w:cantSplit/>
        </w:trPr>
        <w:tc>
          <w:tcPr>
            <w:tcW w:type="dxa" w:w="9360"/>
            <w:tcMar>
              <w:top w:w="80" w:type="dxa"/>
              <w:bottom w:w="80" w:type="dxa"/>
              <w:start w:w="120" w:type="dxa"/>
              <w:end w:w="120" w:type="dxa"/>
            </w:tcMar>
            <w:vAlign w:val="top"/>
            <w:shd w:fill="F8F9FA"/>
          </w:tcPr>
          <w:p>
            <w:pPr>
              <w:spacing w:before="80" w:after="80"/>
            </w:pPr>
            <w:r>
              <w:rPr>
                <w:rFonts w:ascii="Calibri" w:hAnsi="Calibri" w:eastAsia="Hiragino Sans GB"/>
                <w:b/>
                <w:color w:val="D85B16"/>
                <w:sz w:val="17"/>
              </w:rPr>
              <w:t>一句话结论</w:t>
              <w:br/>
            </w:r>
            <w:r>
              <w:rPr>
                <w:rFonts w:ascii="Calibri" w:hAnsi="Calibri" w:eastAsia="Hiragino Sans GB"/>
                <w:b/>
                <w:color w:val="111111"/>
                <w:sz w:val="24"/>
              </w:rPr>
              <w:t>本周的核心不是追逐研究热度，而是把 A股半导体/两融负 Gamma 与 A股风险偏好/两融 拆成可执行、可证伪的赛道和标的判断。</w:t>
            </w:r>
          </w:p>
        </w:tc>
      </w:tr>
    </w:tbl>
    <w:p>
      <w:pPr>
        <w:spacing w:before="320" w:after="0"/>
        <w:jc w:val="center"/>
      </w:pPr>
      <w:hyperlink r:id="rId11">
        <w:r>
          <w:rPr>
            <w:color w:val="1D5FD1"/>
            <w:u w:val="single"/>
            <w:sz w:val="18"/>
            <w:szCs w:val="18"/>
            <w:rFonts w:ascii="Calibri" w:hAnsi="Calibri" w:eastAsia="Hiragino Sans GB"/>
          </w:rPr>
          <w:t>打开受保护的在线周报</w:t>
        </w:r>
      </w:hyperlink>
    </w:p>
    <w:p>
      <w:r>
        <w:br w:type="page"/>
      </w:r>
    </w:p>
    <w:p>
      <w:pPr>
        <w:pStyle w:val="SectionLabel"/>
      </w:pPr>
      <w:r>
        <w:rPr>
          <w:rFonts w:ascii="Calibri" w:hAnsi="Calibri" w:eastAsia="Hiragino Sans GB"/>
          <w:b/>
          <w:color w:val="1D5FD1"/>
          <w:sz w:val="17"/>
        </w:rPr>
        <w:t>DECISION FIRST</w:t>
      </w:r>
    </w:p>
    <w:p>
      <w:pPr>
        <w:pStyle w:val="Heading1"/>
      </w:pPr>
      <w:r>
        <w:t>1. 执行摘要</w:t>
      </w:r>
    </w:p>
    <w:p>
      <w:pPr>
        <w:keepLines w:val="0"/>
      </w:pPr>
      <w:r>
        <w:rPr>
          <w:rFonts w:ascii="Calibri" w:hAnsi="Calibri" w:eastAsia="Hiragino Sans GB"/>
          <w:b w:val="0"/>
          <w:color w:val="111111"/>
          <w:sz w:val="22"/>
        </w:rPr>
        <w:t>AI 电力篮子相关性风险：公用事业分析师研究记录，2026-07-19 与 全球高利率环境下公用事业CapEx放缓风险对电力设备制造商订单韧性的压力测试报告 构成本周最强的证据主轴，而 记忆体降价后的 AI 数据中心电力采购、并网排队与需量电费再定价 提供了必要的反向约束。公开研究合约显示，优先级正在从宽泛主题向可交付、可验证的产业链环节集中；组合层面应先读取 TRIM AI 算力半导体、TRIM 油气/地缘通胀、HOLD A股红利/硬科技杠铃，再用后续订单、交付、政策与市场数据确认。这是首个有持久化证据账本的周度基线版，暂不伪造环比变化。</w:t>
      </w:r>
    </w:p>
    <w:p>
      <w:pPr>
        <w:keepLines/>
      </w:pPr>
      <w:r>
        <w:rPr>
          <w:rFonts w:ascii="Calibri" w:hAnsi="Calibri" w:eastAsia="Hiragino Sans GB"/>
          <w:b w:val="0"/>
          <w:color w:val="5E6268"/>
          <w:sz w:val="22"/>
        </w:rPr>
        <w:t>周报的价值不在于给出更多观点，而在于留下可复查的决策、证据和证伪条件。下一周若触发器没有出现，应降低置信度，而不是用新的叙事延长旧判断。</w:t>
      </w:r>
    </w:p>
    <w:p>
      <w:pPr>
        <w:pStyle w:val="Heading1"/>
      </w:pPr>
      <w:r>
        <w:t>2. 本周操作结论</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850"/>
        <w:gridCol w:w="2050"/>
        <w:gridCol w:w="4200"/>
        <w:gridCol w:w="2260"/>
      </w:tblGrid>
      <w:tr>
        <w:trPr>
          <w:cantSplit/>
          <w:tblHeader w:val="true"/>
        </w:trPr>
        <w:tc>
          <w:tcPr>
            <w:tcW w:type="dxa" w:w="8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ACTION</w:t>
            </w:r>
          </w:p>
        </w:tc>
        <w:tc>
          <w:tcPr>
            <w:tcW w:type="dxa" w:w="20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TARGET</w:t>
            </w:r>
          </w:p>
        </w:tc>
        <w:tc>
          <w:tcPr>
            <w:tcW w:type="dxa" w:w="42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DRIVER / CONFIRMATION</w:t>
            </w:r>
          </w:p>
        </w:tc>
        <w:tc>
          <w:tcPr>
            <w:tcW w:type="dxa" w:w="22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INVALIDATION</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C92A2A"/>
                <w:sz w:val="17"/>
              </w:rPr>
              <w:t>TRIM</w:t>
            </w:r>
          </w:p>
        </w:tc>
        <w:tc>
          <w:tcPr>
            <w:tcW w:type="dxa" w:w="2050"/>
            <w:tcMar>
              <w:top w:w="80" w:type="dxa"/>
              <w:bottom w:w="80" w:type="dxa"/>
              <w:start w:w="120" w:type="dxa"/>
              <w:end w:w="120" w:type="dxa"/>
            </w:tcMar>
            <w:vAlign w:val="top"/>
          </w:tcPr>
          <w:p>
            <w:pPr>
              <w:spacing w:after="40"/>
            </w:pPr>
            <w:hyperlink r:id="rId12">
              <w:r>
                <w:rPr>
                  <w:color w:val="1D5FD1"/>
                  <w:u w:val="single"/>
                  <w:b/>
                  <w:sz w:val="17"/>
                  <w:szCs w:val="17"/>
                  <w:rFonts w:ascii="Calibri" w:hAnsi="Calibri" w:eastAsia="Hiragino Sans GB"/>
                </w:rPr>
                <w:t>AI 算力半导体</w:t>
              </w:r>
            </w:hyperlink>
            <w:r>
              <w:rPr>
                <w:rFonts w:ascii="Calibri" w:hAnsi="Calibri" w:eastAsia="Hiragino Sans GB"/>
                <w:color w:val="5E6268"/>
                <w:sz w:val="15"/>
              </w:rPr>
              <w:br/>
              <w:t>lane · 2026-07-19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AI算力需求仍强，但收益正在从单一加速器向存储、定制芯片和云平台扩散；配置应侧重订单、产品结构和自由现金流，控制估值集中风险。 风险雷达：降权跟踪：适合作为风险雷达，不适合作为无条件加仓理由。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C92A2A"/>
                <w:sz w:val="17"/>
              </w:rPr>
              <w:t>TRIM</w:t>
            </w:r>
          </w:p>
        </w:tc>
        <w:tc>
          <w:tcPr>
            <w:tcW w:type="dxa" w:w="2050"/>
            <w:tcMar>
              <w:top w:w="80" w:type="dxa"/>
              <w:bottom w:w="80" w:type="dxa"/>
              <w:start w:w="120" w:type="dxa"/>
              <w:end w:w="120" w:type="dxa"/>
            </w:tcMar>
            <w:vAlign w:val="top"/>
          </w:tcPr>
          <w:p>
            <w:pPr>
              <w:spacing w:after="40"/>
            </w:pPr>
            <w:hyperlink r:id="rId13">
              <w:r>
                <w:rPr>
                  <w:color w:val="1D5FD1"/>
                  <w:u w:val="single"/>
                  <w:b/>
                  <w:sz w:val="17"/>
                  <w:szCs w:val="17"/>
                  <w:rFonts w:ascii="Calibri" w:hAnsi="Calibri" w:eastAsia="Hiragino Sans GB"/>
                </w:rPr>
                <w:t>油气/地缘通胀</w:t>
              </w:r>
            </w:hyperlink>
            <w:r>
              <w:rPr>
                <w:rFonts w:ascii="Calibri" w:hAnsi="Calibri" w:eastAsia="Hiragino Sans GB"/>
                <w:color w:val="5E6268"/>
                <w:sz w:val="15"/>
              </w:rPr>
              <w:br/>
              <w:t>lane · 2026-07-19 · 91%</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地缘风险提供油价尾部，但持续收益取决于库存、资本纪律和上游现金流，而非单日冲击。 风险雷达：降权跟踪：适合作为风险雷达，不适合作为无条件加仓理由。 确认：油价和金属缺口是否从成本冲击变成需求破坏</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4">
              <w:r>
                <w:rPr>
                  <w:color w:val="1D5FD1"/>
                  <w:u w:val="single"/>
                  <w:b/>
                  <w:sz w:val="17"/>
                  <w:szCs w:val="17"/>
                  <w:rFonts w:ascii="Calibri" w:hAnsi="Calibri" w:eastAsia="Hiragino Sans GB"/>
                </w:rPr>
                <w:t>A股红利/硬科技杠铃</w:t>
              </w:r>
            </w:hyperlink>
            <w:r>
              <w:rPr>
                <w:rFonts w:ascii="Calibri" w:hAnsi="Calibri" w:eastAsia="Hiragino Sans GB"/>
                <w:color w:val="5E6268"/>
                <w:sz w:val="15"/>
              </w:rPr>
              <w:br/>
              <w:t>lane · 2026-07-19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确认：融资余额、ETF 申赎和北向资金是否同向</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支持证据停止更新，价格或资金面先于基本面走弱。</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5">
              <w:r>
                <w:rPr>
                  <w:color w:val="1D5FD1"/>
                  <w:u w:val="single"/>
                  <w:b/>
                  <w:sz w:val="17"/>
                  <w:szCs w:val="17"/>
                  <w:rFonts w:ascii="Calibri" w:hAnsi="Calibri" w:eastAsia="Hiragino Sans GB"/>
                </w:rPr>
                <w:t>Mag7 AI 平台再分层</w:t>
              </w:r>
            </w:hyperlink>
            <w:r>
              <w:rPr>
                <w:rFonts w:ascii="Calibri" w:hAnsi="Calibri" w:eastAsia="Hiragino Sans GB"/>
                <w:color w:val="5E6268"/>
                <w:sz w:val="15"/>
              </w:rPr>
              <w:br/>
              <w:t>lane · 2026-07-19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6">
              <w:r>
                <w:rPr>
                  <w:color w:val="1D5FD1"/>
                  <w:u w:val="single"/>
                  <w:b/>
                  <w:sz w:val="17"/>
                  <w:szCs w:val="17"/>
                  <w:rFonts w:ascii="Calibri" w:hAnsi="Calibri" w:eastAsia="Hiragino Sans GB"/>
                </w:rPr>
                <w:t>AI 再通胀/利率敏感资产</w:t>
              </w:r>
            </w:hyperlink>
            <w:r>
              <w:rPr>
                <w:rFonts w:ascii="Calibri" w:hAnsi="Calibri" w:eastAsia="Hiragino Sans GB"/>
                <w:color w:val="5E6268"/>
                <w:sz w:val="15"/>
              </w:rPr>
              <w:br/>
              <w:t>lane · 2026-07-19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7">
              <w:r>
                <w:rPr>
                  <w:color w:val="1D5FD1"/>
                  <w:u w:val="single"/>
                  <w:b/>
                  <w:sz w:val="17"/>
                  <w:szCs w:val="17"/>
                  <w:rFonts w:ascii="Calibri" w:hAnsi="Calibri" w:eastAsia="Hiragino Sans GB"/>
                </w:rPr>
                <w:t>低价模型/AI 软件利润池</w:t>
              </w:r>
            </w:hyperlink>
            <w:r>
              <w:rPr>
                <w:rFonts w:ascii="Calibri" w:hAnsi="Calibri" w:eastAsia="Hiragino Sans GB"/>
                <w:color w:val="5E6268"/>
                <w:sz w:val="15"/>
              </w:rPr>
              <w:br/>
              <w:t>lane · 2026-07-18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分歧主线：配对验证：这是有投资含义但证据分歧很高的主线，更适合配对验证、分批试错和严格证伪。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bl>
    <w:p>
      <w:pPr>
        <w:pStyle w:val="TableCitation"/>
      </w:pPr>
      <w:r>
        <w:t>基于公开研究合约的研究台操作视图，不构成投资建议；完整客观命中率与真实组合交易需要独立 Panorama App/组合账本读取。</w:t>
      </w:r>
    </w:p>
    <w:p>
      <w:pPr>
        <w:pStyle w:val="Heading1"/>
      </w:pPr>
      <w:r>
        <w:t>3. 决策解释：从证据到组合</w:t>
      </w:r>
    </w:p>
    <w:p>
      <w:pPr>
        <w:pStyle w:val="Heading2"/>
        <w:keepNext/>
      </w:pPr>
      <w:r>
        <w:t>01 · TRIM AI 算力半导体：NAND盈利弹性由价格与产品结构主导，而非单纯出货增长</w:t>
      </w:r>
    </w:p>
    <w:p>
      <w:pPr>
        <w:keepLines/>
      </w:pPr>
      <w:r>
        <w:rPr>
          <w:rFonts w:ascii="Calibri" w:hAnsi="Calibri" w:eastAsia="Hiragino Sans GB"/>
          <w:b w:val="0"/>
          <w:color w:val="111111"/>
          <w:sz w:val="22"/>
        </w:rPr>
        <w:t>AI算力需求仍强，但收益正在从单一加速器向存储、定制芯片和云平台扩散；配置应侧重订单、产品结构和自由现金流，控制估值集中风险。 风险雷达：降权跟踪：适合作为风险雷达，不适合作为无条件加仓理由。 本周证据账本把该判断连接到 5 份公开报告；其有效性仍取决于“CPI/PCE 与油价是否重新推高实际利率”。</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AI 算力半导体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18">
        <w:r>
          <w:rPr>
            <w:color w:val="1D5FD1"/>
            <w:u w:val="single"/>
            <w:sz w:val="17"/>
            <w:szCs w:val="17"/>
            <w:rFonts w:ascii="Calibri" w:hAnsi="Calibri" w:eastAsia="Hiragino Sans GB"/>
          </w:rPr>
          <w:t>R1</w:t>
        </w:r>
      </w:hyperlink>
      <w:r>
        <w:t xml:space="preserve"> · </w:t>
      </w:r>
      <w:hyperlink r:id="rId19">
        <w:r>
          <w:rPr>
            <w:color w:val="1D5FD1"/>
            <w:u w:val="single"/>
            <w:sz w:val="17"/>
            <w:szCs w:val="17"/>
            <w:rFonts w:ascii="Calibri" w:hAnsi="Calibri" w:eastAsia="Hiragino Sans GB"/>
          </w:rPr>
          <w:t>R2</w:t>
        </w:r>
      </w:hyperlink>
      <w:r>
        <w:t xml:space="preserve"> · </w:t>
      </w:r>
      <w:hyperlink r:id="rId20">
        <w:r>
          <w:rPr>
            <w:color w:val="1D5FD1"/>
            <w:u w:val="single"/>
            <w:sz w:val="17"/>
            <w:szCs w:val="17"/>
            <w:rFonts w:ascii="Calibri" w:hAnsi="Calibri" w:eastAsia="Hiragino Sans GB"/>
          </w:rPr>
          <w:t>R3</w:t>
        </w:r>
      </w:hyperlink>
      <w:r>
        <w:t xml:space="preserve"> · </w:t>
      </w:r>
      <w:hyperlink r:id="rId21">
        <w:r>
          <w:rPr>
            <w:color w:val="1D5FD1"/>
            <w:u w:val="single"/>
            <w:sz w:val="17"/>
            <w:szCs w:val="17"/>
            <w:rFonts w:ascii="Calibri" w:hAnsi="Calibri" w:eastAsia="Hiragino Sans GB"/>
          </w:rPr>
          <w:t>对应 Thesis</w:t>
        </w:r>
      </w:hyperlink>
    </w:p>
    <w:p>
      <w:pPr>
        <w:pStyle w:val="Heading2"/>
        <w:keepNext/>
      </w:pPr>
      <w:r>
        <w:t>02 · TRIM 油气/地缘通胀：近海资本开支与设备利用率驱动油服盈利弹性</w:t>
      </w:r>
    </w:p>
    <w:p>
      <w:pPr>
        <w:keepLines/>
      </w:pPr>
      <w:r>
        <w:rPr>
          <w:rFonts w:ascii="Calibri" w:hAnsi="Calibri" w:eastAsia="Hiragino Sans GB"/>
          <w:b w:val="0"/>
          <w:color w:val="111111"/>
          <w:sz w:val="22"/>
        </w:rPr>
        <w:t>地缘风险提供油价尾部，但持续收益取决于库存、资本纪律和上游现金流，而非单日冲击。 风险雷达：降权跟踪：适合作为风险雷达，不适合作为无条件加仓理由。 本周证据账本把该判断连接到 5 份公开报告；其有效性仍取决于“油价和金属缺口是否从成本冲击变成需求破坏”。</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油气/地缘通胀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22">
        <w:r>
          <w:rPr>
            <w:color w:val="1D5FD1"/>
            <w:u w:val="single"/>
            <w:sz w:val="17"/>
            <w:szCs w:val="17"/>
            <w:rFonts w:ascii="Calibri" w:hAnsi="Calibri" w:eastAsia="Hiragino Sans GB"/>
          </w:rPr>
          <w:t>R1</w:t>
        </w:r>
      </w:hyperlink>
      <w:r>
        <w:t xml:space="preserve"> · </w:t>
      </w:r>
      <w:hyperlink r:id="rId23">
        <w:r>
          <w:rPr>
            <w:color w:val="1D5FD1"/>
            <w:u w:val="single"/>
            <w:sz w:val="17"/>
            <w:szCs w:val="17"/>
            <w:rFonts w:ascii="Calibri" w:hAnsi="Calibri" w:eastAsia="Hiragino Sans GB"/>
          </w:rPr>
          <w:t>R2</w:t>
        </w:r>
      </w:hyperlink>
      <w:r>
        <w:t xml:space="preserve"> · </w:t>
      </w:r>
      <w:hyperlink r:id="rId24">
        <w:r>
          <w:rPr>
            <w:color w:val="1D5FD1"/>
            <w:u w:val="single"/>
            <w:sz w:val="17"/>
            <w:szCs w:val="17"/>
            <w:rFonts w:ascii="Calibri" w:hAnsi="Calibri" w:eastAsia="Hiragino Sans GB"/>
          </w:rPr>
          <w:t>R3</w:t>
        </w:r>
      </w:hyperlink>
      <w:r>
        <w:t xml:space="preserve"> · </w:t>
      </w:r>
      <w:hyperlink r:id="rId25">
        <w:r>
          <w:rPr>
            <w:color w:val="1D5FD1"/>
            <w:u w:val="single"/>
            <w:sz w:val="17"/>
            <w:szCs w:val="17"/>
            <w:rFonts w:ascii="Calibri" w:hAnsi="Calibri" w:eastAsia="Hiragino Sans GB"/>
          </w:rPr>
          <w:t>对应 Thesis</w:t>
        </w:r>
      </w:hyperlink>
    </w:p>
    <w:p>
      <w:pPr>
        <w:pStyle w:val="Heading2"/>
        <w:keepNext/>
      </w:pPr>
      <w:r>
        <w:t>03 · HOLD A股红利/硬科技杠铃：A 股红利与硬科技杠铃仍是政策、利率和风险偏好的组合表达</w:t>
      </w:r>
    </w:p>
    <w:p>
      <w:pPr>
        <w:keepLines/>
      </w:pPr>
      <w:r>
        <w:rPr>
          <w:rFonts w:ascii="Calibri" w:hAnsi="Calibri" w:eastAsia="Hiragino Sans GB"/>
          <w:b w:val="0"/>
          <w:color w:val="111111"/>
          <w:sz w:val="22"/>
        </w:rPr>
        <w:t>观察等待：先放入观察池，只在证据密度和价格确认同时改善时进入组合。 本周证据账本把该判断连接到 5 份公开报告；其有效性仍取决于“融资余额、ETF 申赎和北向资金是否同向”。</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A股红利/硬科技杠铃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支持证据停止更新，价格或资金面先于基本面走弱。</w:t>
            </w:r>
          </w:p>
        </w:tc>
      </w:tr>
    </w:tbl>
    <w:p>
      <w:pPr>
        <w:pStyle w:val="TableCitation"/>
      </w:pPr>
      <w:r>
        <w:t>证据：</w:t>
      </w:r>
      <w:hyperlink r:id="rId26">
        <w:r>
          <w:rPr>
            <w:color w:val="1D5FD1"/>
            <w:u w:val="single"/>
            <w:sz w:val="17"/>
            <w:szCs w:val="17"/>
            <w:rFonts w:ascii="Calibri" w:hAnsi="Calibri" w:eastAsia="Hiragino Sans GB"/>
          </w:rPr>
          <w:t>R1</w:t>
        </w:r>
      </w:hyperlink>
      <w:r>
        <w:t xml:space="preserve"> · </w:t>
      </w:r>
      <w:hyperlink r:id="rId27">
        <w:r>
          <w:rPr>
            <w:color w:val="1D5FD1"/>
            <w:u w:val="single"/>
            <w:sz w:val="17"/>
            <w:szCs w:val="17"/>
            <w:rFonts w:ascii="Calibri" w:hAnsi="Calibri" w:eastAsia="Hiragino Sans GB"/>
          </w:rPr>
          <w:t>R2</w:t>
        </w:r>
      </w:hyperlink>
      <w:r>
        <w:t xml:space="preserve"> · </w:t>
      </w:r>
      <w:hyperlink r:id="rId28">
        <w:r>
          <w:rPr>
            <w:color w:val="1D5FD1"/>
            <w:u w:val="single"/>
            <w:sz w:val="17"/>
            <w:szCs w:val="17"/>
            <w:rFonts w:ascii="Calibri" w:hAnsi="Calibri" w:eastAsia="Hiragino Sans GB"/>
          </w:rPr>
          <w:t>R3</w:t>
        </w:r>
      </w:hyperlink>
      <w:r>
        <w:t xml:space="preserve"> · </w:t>
      </w:r>
      <w:hyperlink r:id="rId29">
        <w:r>
          <w:rPr>
            <w:color w:val="1D5FD1"/>
            <w:u w:val="single"/>
            <w:sz w:val="17"/>
            <w:szCs w:val="17"/>
            <w:rFonts w:ascii="Calibri" w:hAnsi="Calibri" w:eastAsia="Hiragino Sans GB"/>
          </w:rPr>
          <w:t>对应 Thesis</w:t>
        </w:r>
      </w:hyperlink>
    </w:p>
    <w:p>
      <w:pPr>
        <w:pStyle w:val="Heading2"/>
        <w:keepNext/>
      </w:pPr>
      <w:r>
        <w:t>04 · HOLD Mag7 AI 平台再分层：Mag7 在 AI 时代从平台垄断转向基础设施再分层</w:t>
      </w:r>
    </w:p>
    <w:p>
      <w:pPr>
        <w:keepLines/>
      </w:pPr>
      <w:r>
        <w:rPr>
          <w:rFonts w:ascii="Calibri" w:hAnsi="Calibri" w:eastAsia="Hiragino Sans GB"/>
          <w:b w:val="0"/>
          <w:color w:val="111111"/>
          <w:sz w:val="22"/>
        </w:rPr>
        <w:t>观察等待：先放入观察池，只在证据密度和价格确认同时改善时进入组合。 本周证据账本把该判断连接到 5 份公开报告；其有效性仍取决于“云厂商 capex 指引是否继续上修”。</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Mag7 AI 平台再分层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28">
        <w:r>
          <w:rPr>
            <w:color w:val="1D5FD1"/>
            <w:u w:val="single"/>
            <w:sz w:val="17"/>
            <w:szCs w:val="17"/>
            <w:rFonts w:ascii="Calibri" w:hAnsi="Calibri" w:eastAsia="Hiragino Sans GB"/>
          </w:rPr>
          <w:t>R1</w:t>
        </w:r>
      </w:hyperlink>
      <w:r>
        <w:t xml:space="preserve"> · </w:t>
      </w:r>
      <w:hyperlink r:id="rId18">
        <w:r>
          <w:rPr>
            <w:color w:val="1D5FD1"/>
            <w:u w:val="single"/>
            <w:sz w:val="17"/>
            <w:szCs w:val="17"/>
            <w:rFonts w:ascii="Calibri" w:hAnsi="Calibri" w:eastAsia="Hiragino Sans GB"/>
          </w:rPr>
          <w:t>R2</w:t>
        </w:r>
      </w:hyperlink>
      <w:r>
        <w:t xml:space="preserve"> · </w:t>
      </w:r>
      <w:hyperlink r:id="rId19">
        <w:r>
          <w:rPr>
            <w:color w:val="1D5FD1"/>
            <w:u w:val="single"/>
            <w:sz w:val="17"/>
            <w:szCs w:val="17"/>
            <w:rFonts w:ascii="Calibri" w:hAnsi="Calibri" w:eastAsia="Hiragino Sans GB"/>
          </w:rPr>
          <w:t>R3</w:t>
        </w:r>
      </w:hyperlink>
      <w:r>
        <w:t xml:space="preserve"> · </w:t>
      </w:r>
      <w:hyperlink r:id="rId30">
        <w:r>
          <w:rPr>
            <w:color w:val="1D5FD1"/>
            <w:u w:val="single"/>
            <w:sz w:val="17"/>
            <w:szCs w:val="17"/>
            <w:rFonts w:ascii="Calibri" w:hAnsi="Calibri" w:eastAsia="Hiragino Sans GB"/>
          </w:rPr>
          <w:t>对应 Thesis</w:t>
        </w:r>
      </w:hyperlink>
    </w:p>
    <w:p>
      <w:pPr>
        <w:pStyle w:val="Heading2"/>
        <w:keepNext/>
      </w:pPr>
      <w:r>
        <w:t>05 · HOLD AI 再通胀/利率敏感资产：AI 资本开支通过能源、设备和利率进入通胀定价</w:t>
      </w:r>
    </w:p>
    <w:p>
      <w:pPr>
        <w:keepLines/>
      </w:pPr>
      <w:r>
        <w:rPr>
          <w:rFonts w:ascii="Calibri" w:hAnsi="Calibri" w:eastAsia="Hiragino Sans GB"/>
          <w:b w:val="0"/>
          <w:color w:val="111111"/>
          <w:sz w:val="22"/>
        </w:rPr>
        <w:t>观察等待：先放入观察池，只在证据密度和价格确认同时改善时进入组合。 本周证据账本把该判断连接到 5 份公开报告；其有效性仍取决于“CPI/PCE 与油价是否重新推高实际利率”。</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AI 再通胀/利率敏感资产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28">
        <w:r>
          <w:rPr>
            <w:color w:val="1D5FD1"/>
            <w:u w:val="single"/>
            <w:sz w:val="17"/>
            <w:szCs w:val="17"/>
            <w:rFonts w:ascii="Calibri" w:hAnsi="Calibri" w:eastAsia="Hiragino Sans GB"/>
          </w:rPr>
          <w:t>R1</w:t>
        </w:r>
      </w:hyperlink>
      <w:r>
        <w:t xml:space="preserve"> · </w:t>
      </w:r>
      <w:hyperlink r:id="rId18">
        <w:r>
          <w:rPr>
            <w:color w:val="1D5FD1"/>
            <w:u w:val="single"/>
            <w:sz w:val="17"/>
            <w:szCs w:val="17"/>
            <w:rFonts w:ascii="Calibri" w:hAnsi="Calibri" w:eastAsia="Hiragino Sans GB"/>
          </w:rPr>
          <w:t>R2</w:t>
        </w:r>
      </w:hyperlink>
      <w:r>
        <w:t xml:space="preserve"> · </w:t>
      </w:r>
      <w:hyperlink r:id="rId19">
        <w:r>
          <w:rPr>
            <w:color w:val="1D5FD1"/>
            <w:u w:val="single"/>
            <w:sz w:val="17"/>
            <w:szCs w:val="17"/>
            <w:rFonts w:ascii="Calibri" w:hAnsi="Calibri" w:eastAsia="Hiragino Sans GB"/>
          </w:rPr>
          <w:t>R3</w:t>
        </w:r>
      </w:hyperlink>
      <w:r>
        <w:t xml:space="preserve"> · </w:t>
      </w:r>
      <w:hyperlink r:id="rId31">
        <w:r>
          <w:rPr>
            <w:color w:val="1D5FD1"/>
            <w:u w:val="single"/>
            <w:sz w:val="17"/>
            <w:szCs w:val="17"/>
            <w:rFonts w:ascii="Calibri" w:hAnsi="Calibri" w:eastAsia="Hiragino Sans GB"/>
          </w:rPr>
          <w:t>对应 Thesis</w:t>
        </w:r>
      </w:hyperlink>
    </w:p>
    <w:p>
      <w:pPr>
        <w:pStyle w:val="Heading2"/>
        <w:keepNext/>
      </w:pPr>
      <w:r>
        <w:t>06 · HOLD 低价模型/AI 软件利润池：DeepSeek 式低价模型正在重塑 AI 定价权与软件利润池</w:t>
      </w:r>
    </w:p>
    <w:p>
      <w:pPr>
        <w:keepLines/>
      </w:pPr>
      <w:r>
        <w:rPr>
          <w:rFonts w:ascii="Calibri" w:hAnsi="Calibri" w:eastAsia="Hiragino Sans GB"/>
          <w:b w:val="0"/>
          <w:color w:val="111111"/>
          <w:sz w:val="22"/>
        </w:rPr>
        <w:t>分歧主线：配对验证：这是有投资含义但证据分歧很高的主线，更适合配对验证、分批试错和严格证伪。 本周证据账本把该判断连接到 3 份公开报告；其有效性仍取决于“云厂商 capex 指引是否继续上修”。</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低价模型/AI 软件利润池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32">
        <w:r>
          <w:rPr>
            <w:color w:val="1D5FD1"/>
            <w:u w:val="single"/>
            <w:sz w:val="17"/>
            <w:szCs w:val="17"/>
            <w:rFonts w:ascii="Calibri" w:hAnsi="Calibri" w:eastAsia="Hiragino Sans GB"/>
          </w:rPr>
          <w:t>R1</w:t>
        </w:r>
      </w:hyperlink>
      <w:r>
        <w:t xml:space="preserve"> · </w:t>
      </w:r>
      <w:hyperlink r:id="rId33">
        <w:r>
          <w:rPr>
            <w:color w:val="1D5FD1"/>
            <w:u w:val="single"/>
            <w:sz w:val="17"/>
            <w:szCs w:val="17"/>
            <w:rFonts w:ascii="Calibri" w:hAnsi="Calibri" w:eastAsia="Hiragino Sans GB"/>
          </w:rPr>
          <w:t>R2</w:t>
        </w:r>
      </w:hyperlink>
      <w:r>
        <w:t xml:space="preserve"> · </w:t>
      </w:r>
      <w:hyperlink r:id="rId34">
        <w:r>
          <w:rPr>
            <w:color w:val="1D5FD1"/>
            <w:u w:val="single"/>
            <w:sz w:val="17"/>
            <w:szCs w:val="17"/>
            <w:rFonts w:ascii="Calibri" w:hAnsi="Calibri" w:eastAsia="Hiragino Sans GB"/>
          </w:rPr>
          <w:t>R3</w:t>
        </w:r>
      </w:hyperlink>
      <w:r>
        <w:t xml:space="preserve"> · </w:t>
      </w:r>
      <w:hyperlink r:id="rId35">
        <w:r>
          <w:rPr>
            <w:color w:val="1D5FD1"/>
            <w:u w:val="single"/>
            <w:sz w:val="17"/>
            <w:szCs w:val="17"/>
            <w:rFonts w:ascii="Calibri" w:hAnsi="Calibri" w:eastAsia="Hiragino Sans GB"/>
          </w:rPr>
          <w:t>对应 Thesis</w:t>
        </w:r>
      </w:hyperlink>
    </w:p>
    <w:p>
      <w:pPr>
        <w:pStyle w:val="Heading1"/>
      </w:pPr>
      <w:r>
        <w:t>4. 本周真正改变了什么</w:t>
      </w:r>
    </w:p>
    <w:p>
      <w:pPr>
        <w:keepNext/>
      </w:pPr>
      <w:r>
        <w:rPr>
          <w:rFonts w:ascii="Calibri" w:hAnsi="Calibri" w:eastAsia="Hiragino Sans GB"/>
          <w:b/>
          <w:color w:val="D85B16"/>
          <w:sz w:val="18"/>
        </w:rPr>
        <w:t xml:space="preserve">01  SPLIT  </w:t>
      </w:r>
      <w:r>
        <w:rPr>
          <w:rFonts w:ascii="Calibri" w:hAnsi="Calibri" w:eastAsia="Hiragino Sans GB"/>
          <w:b/>
          <w:color w:val="111111"/>
          <w:sz w:val="22"/>
        </w:rPr>
        <w:t>主线进一步集中到 A股红利/硬科技杠铃</w:t>
      </w:r>
    </w:p>
    <w:p>
      <w:pPr>
        <w:keepLines w:val="0"/>
      </w:pPr>
      <w:r>
        <w:rPr>
          <w:rFonts w:ascii="Calibri" w:hAnsi="Calibri" w:eastAsia="Hiragino Sans GB"/>
          <w:b w:val="0"/>
          <w:color w:val="111111"/>
          <w:sz w:val="22"/>
        </w:rPr>
        <w:t>赛道：A股红利/硬科技杠铃。候选观察标的：510880.SH, 601398.SH, 600900.SH, 601088.SH, 600941.SH, 588000.SH, 688981.SH。当前共有 40 条证据、2 位分析师和 7 条风险信号指向该判断；主导链条为 宏观通胀传导。该主题应作为可跟踪投资假设，而不是孤立结论。 本周新增 8 条主线事件，其中支持 4 条、风险 4 条；当前组合含义是 先放入观察池，只在证据密度和价格确认同时改善时进入组合。</w:t>
      </w:r>
    </w:p>
    <w:p>
      <w:pPr>
        <w:pStyle w:val="TableCitation"/>
      </w:pPr>
      <w:r>
        <w:t>关联标的：</w:t>
      </w:r>
      <w:hyperlink r:id="rId36">
        <w:r>
          <w:rPr>
            <w:color w:val="1D5FD1"/>
            <w:u w:val="single"/>
            <w:sz w:val="17"/>
            <w:szCs w:val="17"/>
            <w:rFonts w:ascii="Calibri" w:hAnsi="Calibri" w:eastAsia="Hiragino Sans GB"/>
          </w:rPr>
          <w:t>600900.SH</w:t>
        </w:r>
      </w:hyperlink>
      <w:r>
        <w:t xml:space="preserve"> · </w:t>
      </w:r>
      <w:hyperlink r:id="rId37">
        <w:r>
          <w:rPr>
            <w:color w:val="1D5FD1"/>
            <w:u w:val="single"/>
            <w:sz w:val="17"/>
            <w:szCs w:val="17"/>
            <w:rFonts w:ascii="Calibri" w:hAnsi="Calibri" w:eastAsia="Hiragino Sans GB"/>
          </w:rPr>
          <w:t>601088.SH</w:t>
        </w:r>
      </w:hyperlink>
      <w:r>
        <w:t xml:space="preserve"> · </w:t>
      </w:r>
      <w:hyperlink r:id="rId38">
        <w:r>
          <w:rPr>
            <w:color w:val="1D5FD1"/>
            <w:u w:val="single"/>
            <w:sz w:val="17"/>
            <w:szCs w:val="17"/>
            <w:rFonts w:ascii="Calibri" w:hAnsi="Calibri" w:eastAsia="Hiragino Sans GB"/>
          </w:rPr>
          <w:t>601398.SH</w:t>
        </w:r>
      </w:hyperlink>
      <w:r>
        <w:t xml:space="preserve"> · </w:t>
      </w:r>
      <w:hyperlink r:id="rId39">
        <w:r>
          <w:rPr>
            <w:color w:val="1D5FD1"/>
            <w:u w:val="single"/>
            <w:sz w:val="17"/>
            <w:szCs w:val="17"/>
            <w:rFonts w:ascii="Calibri" w:hAnsi="Calibri" w:eastAsia="Hiragino Sans GB"/>
          </w:rPr>
          <w:t>688981.SH</w:t>
        </w:r>
      </w:hyperlink>
      <w:r>
        <w:t xml:space="preserve"> · </w:t>
      </w:r>
      <w:hyperlink r:id="rId40">
        <w:r>
          <w:rPr>
            <w:color w:val="1D5FD1"/>
            <w:u w:val="single"/>
            <w:sz w:val="17"/>
            <w:szCs w:val="17"/>
            <w:rFonts w:ascii="Calibri" w:hAnsi="Calibri" w:eastAsia="Hiragino Sans GB"/>
          </w:rPr>
          <w:t>588000.SH</w:t>
        </w:r>
      </w:hyperlink>
      <w:r>
        <w:t xml:space="preserve"> · </w:t>
      </w:r>
      <w:hyperlink r:id="rId41">
        <w:r>
          <w:rPr>
            <w:color w:val="1D5FD1"/>
            <w:u w:val="single"/>
            <w:sz w:val="17"/>
            <w:szCs w:val="17"/>
            <w:rFonts w:ascii="Calibri" w:hAnsi="Calibri" w:eastAsia="Hiragino Sans GB"/>
          </w:rPr>
          <w:t>600941.SH</w:t>
        </w:r>
      </w:hyperlink>
    </w:p>
    <w:p>
      <w:pPr>
        <w:keepNext/>
      </w:pPr>
      <w:r>
        <w:rPr>
          <w:rFonts w:ascii="Calibri" w:hAnsi="Calibri" w:eastAsia="Hiragino Sans GB"/>
          <w:b/>
          <w:color w:val="D85B16"/>
          <w:sz w:val="18"/>
        </w:rPr>
        <w:t xml:space="preserve">02  WEAKENED  </w:t>
      </w:r>
      <w:r>
        <w:rPr>
          <w:rFonts w:ascii="Calibri" w:hAnsi="Calibri" w:eastAsia="Hiragino Sans GB"/>
          <w:b/>
          <w:color w:val="111111"/>
          <w:sz w:val="22"/>
        </w:rPr>
        <w:t>Mag7 在 AI 时代从平台垄断转向基础设施再分层 的本周证据更新</w:t>
      </w:r>
    </w:p>
    <w:p>
      <w:pPr>
        <w:keepLines w:val="0"/>
      </w:pPr>
      <w:r>
        <w:rPr>
          <w:rFonts w:ascii="Calibri" w:hAnsi="Calibri" w:eastAsia="Hiragino Sans GB"/>
          <w:b w:val="0"/>
          <w:color w:val="111111"/>
          <w:sz w:val="22"/>
        </w:rPr>
        <w:t>赛道：Mag7 AI 平台再分层。候选观察标的：MSFT, AAPL, TSLA, META, AMZN, GOOGL, NVDA。当前共有 40 条证据、5 位分析师和 8 条风险信号指向该判断；主导链条为 AI 基础设施。该主题应作为可跟踪投资假设，而不是孤立结论。 本周新增 8 条主线事件，其中支持 1 条、风险 7 条；当前组合含义是 先放入观察池，只在证据密度和价格确认同时改善时进入组合。</w:t>
      </w:r>
    </w:p>
    <w:p>
      <w:pPr>
        <w:pStyle w:val="TableCitation"/>
      </w:pPr>
      <w:r>
        <w:t>关联标的：</w:t>
      </w:r>
      <w:hyperlink r:id="rId42">
        <w:r>
          <w:rPr>
            <w:color w:val="1D5FD1"/>
            <w:u w:val="single"/>
            <w:sz w:val="17"/>
            <w:szCs w:val="17"/>
            <w:rFonts w:ascii="Calibri" w:hAnsi="Calibri" w:eastAsia="Hiragino Sans GB"/>
          </w:rPr>
          <w:t>META</w:t>
        </w:r>
      </w:hyperlink>
      <w:r>
        <w:t xml:space="preserve"> · </w:t>
      </w:r>
      <w:hyperlink r:id="rId43">
        <w:r>
          <w:rPr>
            <w:color w:val="1D5FD1"/>
            <w:u w:val="single"/>
            <w:sz w:val="17"/>
            <w:szCs w:val="17"/>
            <w:rFonts w:ascii="Calibri" w:hAnsi="Calibri" w:eastAsia="Hiragino Sans GB"/>
          </w:rPr>
          <w:t>MSFT</w:t>
        </w:r>
      </w:hyperlink>
      <w:r>
        <w:t xml:space="preserve"> · </w:t>
      </w:r>
      <w:hyperlink r:id="rId44">
        <w:r>
          <w:rPr>
            <w:color w:val="1D5FD1"/>
            <w:u w:val="single"/>
            <w:sz w:val="17"/>
            <w:szCs w:val="17"/>
            <w:rFonts w:ascii="Calibri" w:hAnsi="Calibri" w:eastAsia="Hiragino Sans GB"/>
          </w:rPr>
          <w:t>NVDA</w:t>
        </w:r>
      </w:hyperlink>
      <w:r>
        <w:t xml:space="preserve"> · </w:t>
      </w:r>
      <w:hyperlink r:id="rId45">
        <w:r>
          <w:rPr>
            <w:color w:val="1D5FD1"/>
            <w:u w:val="single"/>
            <w:sz w:val="17"/>
            <w:szCs w:val="17"/>
            <w:rFonts w:ascii="Calibri" w:hAnsi="Calibri" w:eastAsia="Hiragino Sans GB"/>
          </w:rPr>
          <w:t>AMZN</w:t>
        </w:r>
      </w:hyperlink>
      <w:r>
        <w:t xml:space="preserve"> · </w:t>
      </w:r>
      <w:hyperlink r:id="rId46">
        <w:r>
          <w:rPr>
            <w:color w:val="1D5FD1"/>
            <w:u w:val="single"/>
            <w:sz w:val="17"/>
            <w:szCs w:val="17"/>
            <w:rFonts w:ascii="Calibri" w:hAnsi="Calibri" w:eastAsia="Hiragino Sans GB"/>
          </w:rPr>
          <w:t>GOOGL</w:t>
        </w:r>
      </w:hyperlink>
      <w:r>
        <w:t xml:space="preserve"> · </w:t>
      </w:r>
      <w:hyperlink r:id="rId47">
        <w:r>
          <w:rPr>
            <w:color w:val="1D5FD1"/>
            <w:u w:val="single"/>
            <w:sz w:val="17"/>
            <w:szCs w:val="17"/>
            <w:rFonts w:ascii="Calibri" w:hAnsi="Calibri" w:eastAsia="Hiragino Sans GB"/>
          </w:rPr>
          <w:t>TSM</w:t>
        </w:r>
      </w:hyperlink>
    </w:p>
    <w:p>
      <w:pPr>
        <w:keepNext/>
      </w:pPr>
      <w:r>
        <w:rPr>
          <w:rFonts w:ascii="Calibri" w:hAnsi="Calibri" w:eastAsia="Hiragino Sans GB"/>
          <w:b/>
          <w:color w:val="D85B16"/>
          <w:sz w:val="18"/>
        </w:rPr>
        <w:t xml:space="preserve">03  SPLIT  </w:t>
      </w:r>
      <w:r>
        <w:rPr>
          <w:rFonts w:ascii="Calibri" w:hAnsi="Calibri" w:eastAsia="Hiragino Sans GB"/>
          <w:b/>
          <w:color w:val="111111"/>
          <w:sz w:val="22"/>
        </w:rPr>
        <w:t>NAND盈利弹性由价格与产品结构主导，而非单纯出货增长 的本周证据更新</w:t>
      </w:r>
    </w:p>
    <w:p>
      <w:pPr>
        <w:keepLines w:val="0"/>
      </w:pPr>
      <w:r>
        <w:rPr>
          <w:rFonts w:ascii="Calibri" w:hAnsi="Calibri" w:eastAsia="Hiragino Sans GB"/>
          <w:b w:val="0"/>
          <w:color w:val="111111"/>
          <w:sz w:val="22"/>
        </w:rPr>
        <w:t>SanDisk的盈利修复主要来自NAND单位价格上行和产品结构改善，而非位元出货扩张。若AI及企业存储需求维持、行业供给纪律未被破坏，利润率可保持韧性；若新增供给推动价格回落，盈利弹性将快速反转。 本周新增 8 条主线事件，其中支持 4 条、风险 4 条；当前组合含义是 适合作为风险雷达，不适合作为无条件加仓理由。</w:t>
      </w:r>
    </w:p>
    <w:p>
      <w:pPr>
        <w:pStyle w:val="TableCitation"/>
      </w:pPr>
      <w:r>
        <w:t>关联标的：</w:t>
      </w:r>
      <w:hyperlink r:id="rId44">
        <w:r>
          <w:rPr>
            <w:color w:val="1D5FD1"/>
            <w:u w:val="single"/>
            <w:sz w:val="17"/>
            <w:szCs w:val="17"/>
            <w:rFonts w:ascii="Calibri" w:hAnsi="Calibri" w:eastAsia="Hiragino Sans GB"/>
          </w:rPr>
          <w:t>NVDA</w:t>
        </w:r>
      </w:hyperlink>
      <w:r>
        <w:t xml:space="preserve"> · </w:t>
      </w:r>
      <w:hyperlink r:id="rId47">
        <w:r>
          <w:rPr>
            <w:color w:val="1D5FD1"/>
            <w:u w:val="single"/>
            <w:sz w:val="17"/>
            <w:szCs w:val="17"/>
            <w:rFonts w:ascii="Calibri" w:hAnsi="Calibri" w:eastAsia="Hiragino Sans GB"/>
          </w:rPr>
          <w:t>TSM</w:t>
        </w:r>
      </w:hyperlink>
      <w:r>
        <w:t xml:space="preserve"> · </w:t>
      </w:r>
      <w:hyperlink r:id="rId48">
        <w:r>
          <w:rPr>
            <w:color w:val="1D5FD1"/>
            <w:u w:val="single"/>
            <w:sz w:val="17"/>
            <w:szCs w:val="17"/>
            <w:rFonts w:ascii="Calibri" w:hAnsi="Calibri" w:eastAsia="Hiragino Sans GB"/>
          </w:rPr>
          <w:t>MU</w:t>
        </w:r>
      </w:hyperlink>
      <w:r>
        <w:t xml:space="preserve"> · </w:t>
      </w:r>
      <w:hyperlink r:id="rId49">
        <w:r>
          <w:rPr>
            <w:color w:val="1D5FD1"/>
            <w:u w:val="single"/>
            <w:sz w:val="17"/>
            <w:szCs w:val="17"/>
            <w:rFonts w:ascii="Calibri" w:hAnsi="Calibri" w:eastAsia="Hiragino Sans GB"/>
          </w:rPr>
          <w:t>000660.KS</w:t>
        </w:r>
      </w:hyperlink>
      <w:r>
        <w:t xml:space="preserve"> · </w:t>
      </w:r>
      <w:hyperlink r:id="rId42">
        <w:r>
          <w:rPr>
            <w:color w:val="1D5FD1"/>
            <w:u w:val="single"/>
            <w:sz w:val="17"/>
            <w:szCs w:val="17"/>
            <w:rFonts w:ascii="Calibri" w:hAnsi="Calibri" w:eastAsia="Hiragino Sans GB"/>
          </w:rPr>
          <w:t>META</w:t>
        </w:r>
      </w:hyperlink>
      <w:r>
        <w:t xml:space="preserve"> · </w:t>
      </w:r>
      <w:hyperlink r:id="rId50">
        <w:r>
          <w:rPr>
            <w:color w:val="1D5FD1"/>
            <w:u w:val="single"/>
            <w:sz w:val="17"/>
            <w:szCs w:val="17"/>
            <w:rFonts w:ascii="Calibri" w:hAnsi="Calibri" w:eastAsia="Hiragino Sans GB"/>
          </w:rPr>
          <w:t>AMD</w:t>
        </w:r>
      </w:hyperlink>
    </w:p>
    <w:p>
      <w:pPr>
        <w:keepNext/>
      </w:pPr>
      <w:r>
        <w:rPr>
          <w:rFonts w:ascii="Calibri" w:hAnsi="Calibri" w:eastAsia="Hiragino Sans GB"/>
          <w:b/>
          <w:color w:val="D85B16"/>
          <w:sz w:val="18"/>
        </w:rPr>
        <w:t xml:space="preserve">04  SPLIT  </w:t>
      </w:r>
      <w:r>
        <w:rPr>
          <w:rFonts w:ascii="Calibri" w:hAnsi="Calibri" w:eastAsia="Hiragino Sans GB"/>
          <w:b/>
          <w:color w:val="111111"/>
          <w:sz w:val="22"/>
        </w:rPr>
        <w:t>酒店餐饮休闲复苏正在从客流修复转向 RevPAR、翻台率与小盘 Alpha 的本周证据更新</w:t>
      </w:r>
    </w:p>
    <w:p>
      <w:pPr>
        <w:keepLines w:val="0"/>
      </w:pPr>
      <w:r>
        <w:rPr>
          <w:rFonts w:ascii="Calibri" w:hAnsi="Calibri" w:eastAsia="Hiragino Sans GB"/>
          <w:b w:val="0"/>
          <w:color w:val="111111"/>
          <w:sz w:val="22"/>
        </w:rPr>
        <w:t>赛道：酒店餐饮休闲/服务消费。候选观察标的：1179.HK, 9961.HK, 3690.HK, YUMC, MAR, BKNG, SBUX。当前共有 40 条证据、1 位分析师和 3 条风险信号指向该判断；主导链条为 宏观通胀传导。该主题应作为可跟踪投资假设，而不是孤立结论。 本周新增 8 条主线事件，其中支持 4 条、风险 4 条；当前组合含义是 先放入观察池，只在证据密度和价格确认同时改善时进入组合。</w:t>
      </w:r>
    </w:p>
    <w:p>
      <w:pPr>
        <w:pStyle w:val="TableCitation"/>
      </w:pPr>
      <w:r>
        <w:t>关联标的：</w:t>
      </w:r>
      <w:hyperlink r:id="rId51">
        <w:r>
          <w:rPr>
            <w:color w:val="1D5FD1"/>
            <w:u w:val="single"/>
            <w:sz w:val="17"/>
            <w:szCs w:val="17"/>
            <w:rFonts w:ascii="Calibri" w:hAnsi="Calibri" w:eastAsia="Hiragino Sans GB"/>
          </w:rPr>
          <w:t>9922.HK</w:t>
        </w:r>
      </w:hyperlink>
      <w:r>
        <w:t xml:space="preserve"> · </w:t>
      </w:r>
      <w:hyperlink r:id="rId52">
        <w:r>
          <w:rPr>
            <w:color w:val="1D5FD1"/>
            <w:u w:val="single"/>
            <w:sz w:val="17"/>
            <w:szCs w:val="17"/>
            <w:rFonts w:ascii="Calibri" w:hAnsi="Calibri" w:eastAsia="Hiragino Sans GB"/>
          </w:rPr>
          <w:t>001215.SZ</w:t>
        </w:r>
      </w:hyperlink>
      <w:r>
        <w:t xml:space="preserve"> · </w:t>
      </w:r>
      <w:hyperlink r:id="rId53">
        <w:r>
          <w:rPr>
            <w:color w:val="1D5FD1"/>
            <w:u w:val="single"/>
            <w:sz w:val="17"/>
            <w:szCs w:val="17"/>
            <w:rFonts w:ascii="Calibri" w:hAnsi="Calibri" w:eastAsia="Hiragino Sans GB"/>
          </w:rPr>
          <w:t>3690.HK</w:t>
        </w:r>
      </w:hyperlink>
      <w:r>
        <w:t xml:space="preserve"> · </w:t>
      </w:r>
      <w:hyperlink r:id="rId54">
        <w:r>
          <w:rPr>
            <w:color w:val="1D5FD1"/>
            <w:u w:val="single"/>
            <w:sz w:val="17"/>
            <w:szCs w:val="17"/>
            <w:rFonts w:ascii="Calibri" w:hAnsi="Calibri" w:eastAsia="Hiragino Sans GB"/>
          </w:rPr>
          <w:t>YUMC</w:t>
        </w:r>
      </w:hyperlink>
      <w:r>
        <w:t xml:space="preserve"> · </w:t>
      </w:r>
      <w:hyperlink r:id="rId55">
        <w:r>
          <w:rPr>
            <w:color w:val="1D5FD1"/>
            <w:u w:val="single"/>
            <w:sz w:val="17"/>
            <w:szCs w:val="17"/>
            <w:rFonts w:ascii="Calibri" w:hAnsi="Calibri" w:eastAsia="Hiragino Sans GB"/>
          </w:rPr>
          <w:t>1179.HK</w:t>
        </w:r>
      </w:hyperlink>
      <w:r>
        <w:t xml:space="preserve"> · </w:t>
      </w:r>
      <w:hyperlink r:id="rId56">
        <w:r>
          <w:rPr>
            <w:color w:val="1D5FD1"/>
            <w:u w:val="single"/>
            <w:sz w:val="17"/>
            <w:szCs w:val="17"/>
            <w:rFonts w:ascii="Calibri" w:hAnsi="Calibri" w:eastAsia="Hiragino Sans GB"/>
          </w:rPr>
          <w:t>0780.HK</w:t>
        </w:r>
      </w:hyperlink>
    </w:p>
    <w:p>
      <w:pPr>
        <w:keepNext/>
      </w:pPr>
      <w:r>
        <w:rPr>
          <w:rFonts w:ascii="Calibri" w:hAnsi="Calibri" w:eastAsia="Hiragino Sans GB"/>
          <w:b/>
          <w:color w:val="D85B16"/>
          <w:sz w:val="18"/>
        </w:rPr>
        <w:t xml:space="preserve">05  WEAKENED  </w:t>
      </w:r>
      <w:r>
        <w:rPr>
          <w:rFonts w:ascii="Calibri" w:hAnsi="Calibri" w:eastAsia="Hiragino Sans GB"/>
          <w:b/>
          <w:color w:val="111111"/>
          <w:sz w:val="22"/>
        </w:rPr>
        <w:t>AI 资本开支通过能源、设备和利率进入通胀定价 的本周证据更新</w:t>
      </w:r>
    </w:p>
    <w:p>
      <w:pPr>
        <w:keepLines w:val="0"/>
      </w:pPr>
      <w:r>
        <w:rPr>
          <w:rFonts w:ascii="Calibri" w:hAnsi="Calibri" w:eastAsia="Hiragino Sans GB"/>
          <w:b w:val="0"/>
          <w:color w:val="111111"/>
          <w:sz w:val="22"/>
        </w:rPr>
        <w:t>赛道：AI 再通胀/利率敏感资产。候选观察标的：XLE, XLU, TLT, GLD, JPM, NEE。当前共有 40 条证据、3 位分析师和 8 条风险信号指向该判断；主导链条为 宏观通胀传导。该主题应作为可跟踪投资假设，而不是孤立结论。 本周新增 8 条主线事件，其中支持 1 条、风险 7 条；当前组合含义是 先放入观察池，只在证据密度和价格确认同时改善时进入组合。</w:t>
      </w:r>
    </w:p>
    <w:p>
      <w:pPr>
        <w:pStyle w:val="TableCitation"/>
      </w:pPr>
      <w:r>
        <w:t>关联标的：</w:t>
      </w:r>
      <w:hyperlink r:id="rId42">
        <w:r>
          <w:rPr>
            <w:color w:val="1D5FD1"/>
            <w:u w:val="single"/>
            <w:sz w:val="17"/>
            <w:szCs w:val="17"/>
            <w:rFonts w:ascii="Calibri" w:hAnsi="Calibri" w:eastAsia="Hiragino Sans GB"/>
          </w:rPr>
          <w:t>META</w:t>
        </w:r>
      </w:hyperlink>
      <w:r>
        <w:t xml:space="preserve"> · </w:t>
      </w:r>
      <w:hyperlink r:id="rId43">
        <w:r>
          <w:rPr>
            <w:color w:val="1D5FD1"/>
            <w:u w:val="single"/>
            <w:sz w:val="17"/>
            <w:szCs w:val="17"/>
            <w:rFonts w:ascii="Calibri" w:hAnsi="Calibri" w:eastAsia="Hiragino Sans GB"/>
          </w:rPr>
          <w:t>MSFT</w:t>
        </w:r>
      </w:hyperlink>
      <w:r>
        <w:t xml:space="preserve"> · </w:t>
      </w:r>
      <w:hyperlink r:id="rId45">
        <w:r>
          <w:rPr>
            <w:color w:val="1D5FD1"/>
            <w:u w:val="single"/>
            <w:sz w:val="17"/>
            <w:szCs w:val="17"/>
            <w:rFonts w:ascii="Calibri" w:hAnsi="Calibri" w:eastAsia="Hiragino Sans GB"/>
          </w:rPr>
          <w:t>AMZN</w:t>
        </w:r>
      </w:hyperlink>
      <w:r>
        <w:t xml:space="preserve"> · </w:t>
      </w:r>
      <w:hyperlink r:id="rId57">
        <w:r>
          <w:rPr>
            <w:color w:val="1D5FD1"/>
            <w:u w:val="single"/>
            <w:sz w:val="17"/>
            <w:szCs w:val="17"/>
            <w:rFonts w:ascii="Calibri" w:hAnsi="Calibri" w:eastAsia="Hiragino Sans GB"/>
          </w:rPr>
          <w:t>TLT</w:t>
        </w:r>
      </w:hyperlink>
      <w:r>
        <w:t xml:space="preserve"> · </w:t>
      </w:r>
      <w:hyperlink r:id="rId46">
        <w:r>
          <w:rPr>
            <w:color w:val="1D5FD1"/>
            <w:u w:val="single"/>
            <w:sz w:val="17"/>
            <w:szCs w:val="17"/>
            <w:rFonts w:ascii="Calibri" w:hAnsi="Calibri" w:eastAsia="Hiragino Sans GB"/>
          </w:rPr>
          <w:t>GOOGL</w:t>
        </w:r>
      </w:hyperlink>
      <w:r>
        <w:t xml:space="preserve"> · </w:t>
      </w:r>
      <w:hyperlink r:id="rId58">
        <w:r>
          <w:rPr>
            <w:color w:val="1D5FD1"/>
            <w:u w:val="single"/>
            <w:sz w:val="17"/>
            <w:szCs w:val="17"/>
            <w:rFonts w:ascii="Calibri" w:hAnsi="Calibri" w:eastAsia="Hiragino Sans GB"/>
          </w:rPr>
          <w:t>XLU</w:t>
        </w:r>
      </w:hyperlink>
    </w:p>
    <w:p>
      <w:pPr>
        <w:pStyle w:val="Heading1"/>
      </w:pPr>
      <w:r>
        <w:t>5. 赛道配置与下一催化</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600"/>
        <w:gridCol w:w="1250"/>
        <w:gridCol w:w="2300"/>
        <w:gridCol w:w="2550"/>
        <w:gridCol w:w="2660"/>
      </w:tblGrid>
      <w:tr>
        <w:trPr>
          <w:cantSplit/>
          <w:tblHeader w:val="true"/>
        </w:trPr>
        <w:tc>
          <w:tcPr>
            <w:tcW w:type="dxa" w:w="6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RANK</w:t>
            </w:r>
          </w:p>
        </w:tc>
        <w:tc>
          <w:tcPr>
            <w:tcW w:type="dxa" w:w="12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STANCE</w:t>
            </w:r>
          </w:p>
        </w:tc>
        <w:tc>
          <w:tcPr>
            <w:tcW w:type="dxa" w:w="23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LANE</w:t>
            </w:r>
          </w:p>
        </w:tc>
        <w:tc>
          <w:tcPr>
            <w:tcW w:type="dxa" w:w="25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NEXT CATALYST</w:t>
            </w:r>
          </w:p>
        </w:tc>
        <w:tc>
          <w:tcPr>
            <w:tcW w:type="dxa" w:w="2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KEY EXPOSURES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59">
              <w:r>
                <w:rPr>
                  <w:color w:val="1D5FD1"/>
                  <w:u w:val="single"/>
                  <w:b/>
                  <w:sz w:val="16"/>
                  <w:szCs w:val="16"/>
                  <w:rFonts w:ascii="Calibri" w:hAnsi="Calibri" w:eastAsia="Hiragino Sans GB"/>
                </w:rPr>
                <w:t>A股半导体/两融负 Gamma</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688256.SH · 588000.SH · 688981.SH · 688041.SH · 0981.HK · 688008.SH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60">
              <w:r>
                <w:rPr>
                  <w:color w:val="1D5FD1"/>
                  <w:u w:val="single"/>
                  <w:b/>
                  <w:sz w:val="16"/>
                  <w:szCs w:val="16"/>
                  <w:rFonts w:ascii="Calibri" w:hAnsi="Calibri" w:eastAsia="Hiragino Sans GB"/>
                </w:rPr>
                <w:t>A股风险偏好/两融</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588000.SH · 510300.SH · 688729.SH · 512100.SH · 301221.SZ · 688667.SH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3</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8864B"/>
                <w:sz w:val="15"/>
              </w:rPr>
              <w:t>OVERWEIGHT</w:t>
            </w:r>
          </w:p>
        </w:tc>
        <w:tc>
          <w:tcPr>
            <w:tcW w:type="dxa" w:w="2300"/>
            <w:tcMar>
              <w:top w:w="80" w:type="dxa"/>
              <w:bottom w:w="80" w:type="dxa"/>
              <w:start w:w="120" w:type="dxa"/>
              <w:end w:w="120" w:type="dxa"/>
            </w:tcMar>
          </w:tcPr>
          <w:p>
            <w:hyperlink r:id="rId61">
              <w:r>
                <w:rPr>
                  <w:color w:val="1D5FD1"/>
                  <w:u w:val="single"/>
                  <w:b/>
                  <w:sz w:val="16"/>
                  <w:szCs w:val="16"/>
                  <w:rFonts w:ascii="Calibri" w:hAnsi="Calibri" w:eastAsia="Hiragino Sans GB"/>
                </w:rPr>
                <w:t>AI 电力/电网设备</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GEV · ETN · 002028.SZ · 600089.SH · VST · CEG</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4</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2">
              <w:r>
                <w:rPr>
                  <w:color w:val="1D5FD1"/>
                  <w:u w:val="single"/>
                  <w:b/>
                  <w:sz w:val="16"/>
                  <w:szCs w:val="16"/>
                  <w:rFonts w:ascii="Calibri" w:hAnsi="Calibri" w:eastAsia="Hiragino Sans GB"/>
                </w:rPr>
                <w:t>AI 算力半导体</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NVDA · TSM · META · AMD · AVGO · 000660.KS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5</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2">
              <w:r>
                <w:rPr>
                  <w:color w:val="1D5FD1"/>
                  <w:u w:val="single"/>
                  <w:b/>
                  <w:sz w:val="16"/>
                  <w:szCs w:val="16"/>
                  <w:rFonts w:ascii="Calibri" w:hAnsi="Calibri" w:eastAsia="Hiragino Sans GB"/>
                </w:rPr>
                <w:t>先进封装/HBM4 闸门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云厂商 capex 指引是否继续上修</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NVDA · MU · 000660.KS · ASML · 002916.SZ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6</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3">
              <w:r>
                <w:rPr>
                  <w:color w:val="1D5FD1"/>
                  <w:u w:val="single"/>
                  <w:b/>
                  <w:sz w:val="16"/>
                  <w:szCs w:val="16"/>
                  <w:rFonts w:ascii="Calibri" w:hAnsi="Calibri" w:eastAsia="Hiragino Sans GB"/>
                </w:rPr>
                <w:t>油气/地缘通胀</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油价和金属缺口是否从成本冲击变成需求破坏</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0883.HK · SLB · OXY · CVX · XOM · COP</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7</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3">
              <w:r>
                <w:rPr>
                  <w:color w:val="1D5FD1"/>
                  <w:u w:val="single"/>
                  <w:b/>
                  <w:sz w:val="16"/>
                  <w:szCs w:val="16"/>
                  <w:rFonts w:ascii="Calibri" w:hAnsi="Calibri" w:eastAsia="Hiragino Sans GB"/>
                </w:rPr>
                <w:t>美债利率/美元再定价</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TLT · IEF · JPM · KRE · UUP · CME</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8</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4">
              <w:r>
                <w:rPr>
                  <w:color w:val="1D5FD1"/>
                  <w:u w:val="single"/>
                  <w:b/>
                  <w:sz w:val="16"/>
                  <w:szCs w:val="16"/>
                  <w:rFonts w:ascii="Calibri" w:hAnsi="Calibri" w:eastAsia="Hiragino Sans GB"/>
                </w:rPr>
                <w:t>中国大健康/创新药出海</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1801.HK · 600276.SH · 2359.HK · 9926.HK · 2269.HK · 603259.SH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9</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5">
              <w:r>
                <w:rPr>
                  <w:color w:val="1D5FD1"/>
                  <w:u w:val="single"/>
                  <w:b/>
                  <w:sz w:val="16"/>
                  <w:szCs w:val="16"/>
                  <w:rFonts w:ascii="Calibri" w:hAnsi="Calibri" w:eastAsia="Hiragino Sans GB"/>
                </w:rPr>
                <w:t>A股硬科技/科创50</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300308.SZ · 588000.SH · 688256.SH · 688981.SH · 688008.SH · 688041.SH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10</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66">
              <w:r>
                <w:rPr>
                  <w:color w:val="1D5FD1"/>
                  <w:u w:val="single"/>
                  <w:b/>
                  <w:sz w:val="16"/>
                  <w:szCs w:val="16"/>
                  <w:rFonts w:ascii="Calibri" w:hAnsi="Calibri" w:eastAsia="Hiragino Sans GB"/>
                </w:rPr>
                <w:t>食品加工/成本传导</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600298.SH · 001215.SZ · 603027.SH · 300973.SZ · 603317.SH · 002847.SZ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7">
              <w:r>
                <w:rPr>
                  <w:color w:val="1D5FD1"/>
                  <w:u w:val="single"/>
                  <w:b/>
                  <w:sz w:val="16"/>
                  <w:szCs w:val="16"/>
                  <w:rFonts w:ascii="Calibri" w:hAnsi="Calibri" w:eastAsia="Hiragino Sans GB"/>
                </w:rPr>
                <w:t>日元套息/EM 科技流动性</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KWEB · FXY · NVDA · CME · 000660.KS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8">
              <w:r>
                <w:rPr>
                  <w:color w:val="1D5FD1"/>
                  <w:u w:val="single"/>
                  <w:b/>
                  <w:sz w:val="16"/>
                  <w:szCs w:val="16"/>
                  <w:rFonts w:ascii="Calibri" w:hAnsi="Calibri" w:eastAsia="Hiragino Sans GB"/>
                </w:rPr>
                <w:t>公用事业/电网信用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600900.SH · DUK · CEG · AEP · 600025.SH · 003816.SZ</w:t>
            </w:r>
          </w:p>
        </w:tc>
      </w:tr>
    </w:tbl>
    <w:p>
      <w:pPr>
        <w:pStyle w:val="Heading1"/>
      </w:pPr>
      <w:r>
        <w:t>6. 关键分歧：保留正反两面</w:t>
      </w:r>
    </w:p>
    <w:p>
      <w:pPr>
        <w:pStyle w:val="Heading2"/>
      </w:pPr>
      <w:r>
        <w:t>01 · Mag7 在 AI 时代从平台垄断转向基础设施再分层</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2026-07-10｜超大规模厂商资本轮动：从消费内容到 AI 算力</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2026-07-18 AI 资本开支消化气穴仪表盘:公司与供应链披露</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下一周需要由价格、订单、交付、政策或盈利数据中的至少一项同向确认。</w:t>
            </w:r>
          </w:p>
        </w:tc>
      </w:tr>
    </w:tbl>
    <w:p>
      <w:pPr>
        <w:pStyle w:val="Heading2"/>
      </w:pPr>
      <w:r>
        <w:t>02 · HBM4、CoWoS 与背面供电正在成为 AI 服务器需求曲线的串行闸门</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NVIDIA Vera Rubin 平台及其先进封装 (CoWoS) 供应链深度解析</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HBM4与CoWoS-L：3nm瓶颈背后真正被低估的"铲子股"</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下一周需要由价格、订单、交付、政策或盈利数据中的至少一项同向确认。</w:t>
            </w:r>
          </w:p>
        </w:tc>
      </w:tr>
    </w:tbl>
    <w:p>
      <w:pPr>
        <w:pStyle w:val="Heading2"/>
      </w:pPr>
      <w:r>
        <w:t>03 · GPU、HBM 与先进封装决定 AI 资本开支供给节奏</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核心结论 / Core Thesis</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国产HBM先进封装材料良率瓶颈与TSMC先进制程价格壁垒下的硬科技估值底线重估</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下一周需要由价格、订单、交付、政策或盈利数据中的至少一项同向确认。</w:t>
            </w:r>
          </w:p>
        </w:tc>
      </w:tr>
    </w:tbl>
    <w:p>
      <w:pPr>
        <w:pStyle w:val="Heading1"/>
      </w:pPr>
      <w:r>
        <w:t>7. 下周验证清单</w:t>
      </w:r>
    </w:p>
    <w:p>
      <w:pPr>
        <w:pStyle w:val="Heading2"/>
      </w:pPr>
      <w:r>
        <w:t>01 · A股半导体/两融负 Gamma：融资余额、ETF 申赎和北向资金是否同向</w:t>
      </w:r>
    </w:p>
    <w:p>
      <w:pPr>
        <w:keepLines/>
      </w:pPr>
      <w:r>
        <w:rPr>
          <w:rFonts w:ascii="Calibri" w:hAnsi="Calibri" w:eastAsia="Hiragino Sans GB"/>
          <w:b w:val="0"/>
          <w:color w:val="5E6268"/>
          <w:sz w:val="22"/>
        </w:rPr>
        <w:t>该信号决定 UNDERWEIGHT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融资余额、ETF 申赎和北向资金是否同向</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维持低配并等待第二条确认。</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2"/>
      </w:pPr>
      <w:r>
        <w:t>02 · A股风险偏好/两融：融资余额、ETF 申赎和北向资金是否同向</w:t>
      </w:r>
    </w:p>
    <w:p>
      <w:pPr>
        <w:keepLines/>
      </w:pPr>
      <w:r>
        <w:rPr>
          <w:rFonts w:ascii="Calibri" w:hAnsi="Calibri" w:eastAsia="Hiragino Sans GB"/>
          <w:b w:val="0"/>
          <w:color w:val="5E6268"/>
          <w:sz w:val="22"/>
        </w:rPr>
        <w:t>该信号决定 UNDERWEIGHT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融资余额、ETF 申赎和北向资金是否同向</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维持低配并等待第二条确认。</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2"/>
      </w:pPr>
      <w:r>
        <w:t>03 · AI 电力/电网设备：并网排队和变压器交期是否继续拉长</w:t>
      </w:r>
    </w:p>
    <w:p>
      <w:pPr>
        <w:keepLines/>
      </w:pPr>
      <w:r>
        <w:rPr>
          <w:rFonts w:ascii="Calibri" w:hAnsi="Calibri" w:eastAsia="Hiragino Sans GB"/>
          <w:b w:val="0"/>
          <w:color w:val="5E6268"/>
          <w:sz w:val="22"/>
        </w:rPr>
        <w:t>该信号决定 OVERWEIGHT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并网排队和变压器交期是否继续拉长</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在既定赛道上限内优先增加证据最强的核心标的。</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2"/>
      </w:pPr>
      <w:r>
        <w:t>04 · AI 算力半导体：CPI/PCE 与油价是否重新推高实际利率</w:t>
      </w:r>
    </w:p>
    <w:p>
      <w:pPr>
        <w:keepLines/>
      </w:pPr>
      <w:r>
        <w:rPr>
          <w:rFonts w:ascii="Calibri" w:hAnsi="Calibri" w:eastAsia="Hiragino Sans GB"/>
          <w:b w:val="0"/>
          <w:color w:val="5E6268"/>
          <w:sz w:val="22"/>
        </w:rPr>
        <w:t>该信号决定 NEUTRAL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CPI/PCE 与油价是否重新推高实际利率</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在既定赛道上限内优先增加证据最强的核心标的。</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2"/>
      </w:pPr>
      <w:r>
        <w:t>05 · 先进封装/HBM4 闸门：云厂商 capex 指引是否继续上修</w:t>
      </w:r>
    </w:p>
    <w:p>
      <w:pPr>
        <w:keepLines/>
      </w:pPr>
      <w:r>
        <w:rPr>
          <w:rFonts w:ascii="Calibri" w:hAnsi="Calibri" w:eastAsia="Hiragino Sans GB"/>
          <w:b w:val="0"/>
          <w:color w:val="5E6268"/>
          <w:sz w:val="22"/>
        </w:rPr>
        <w:t>该信号决定 NEUTRAL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云厂商 capex 指引是否继续上修</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在既定赛道上限内优先增加证据最强的核心标的。</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1"/>
      </w:pPr>
      <w:r>
        <w:t>8. 发布质量与数据边界</w:t>
      </w:r>
    </w:p>
    <w:p>
      <w:pPr>
        <w:keepLines w:val="0"/>
      </w:pPr>
      <w:r>
        <w:rPr>
          <w:rFonts w:ascii="Calibri" w:hAnsi="Calibri" w:eastAsia="Hiragino Sans GB"/>
          <w:b/>
          <w:color w:val="111111"/>
          <w:sz w:val="22"/>
        </w:rPr>
        <w:t>本周结构化市场报价为空，因此不发布伪精确收益归因；正式命中率与 Brier 需要已结算 forecast 合约。</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500"/>
        <w:gridCol w:w="1860"/>
        <w:gridCol w:w="5000"/>
      </w:tblGrid>
      <w:tr>
        <w:trPr>
          <w:cantSplit/>
          <w:tblHeader w:val="true"/>
        </w:trPr>
        <w:tc>
          <w:tcPr>
            <w:tcW w:type="dxa" w:w="2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CHECK</w:t>
            </w:r>
          </w:p>
        </w:tc>
        <w:tc>
          <w:tcPr>
            <w:tcW w:type="dxa" w:w="18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STATUS / VALUE</w:t>
            </w:r>
          </w:p>
        </w:tc>
        <w:tc>
          <w:tcPr>
            <w:tcW w:type="dxa" w:w="50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INTERPRETATION</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公开来源数</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80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公开来源覆盖</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操作结论证据覆盖</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6/6</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每条操作结论均有证据映射</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反向证据</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132</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保留反向与挑战证据</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上周基线</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baseline</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是否具备可比较上周基线</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结构化市场报价</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是否具备结构化市场报价</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人类友好综合</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deterministic_grounded</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是否完成人类友好叙事综合</w:t>
            </w:r>
          </w:p>
        </w:tc>
      </w:tr>
    </w:tbl>
    <w:p>
      <w:pPr>
        <w:keepLines w:val="0"/>
      </w:pPr>
      <w:r>
        <w:rPr>
          <w:rFonts w:ascii="Calibri" w:hAnsi="Calibri" w:eastAsia="Hiragino Sans GB"/>
          <w:b/>
          <w:color w:val="C92A2A"/>
          <w:sz w:val="22"/>
        </w:rPr>
        <w:t>本版明确不发布：verified_market_performance · settled_forecast_hit_rate_and_brier</w:t>
      </w:r>
    </w:p>
    <w:p>
      <w:pPr>
        <w:keepLines w:val="0"/>
      </w:pPr>
      <w:r>
        <w:rPr>
          <w:rFonts w:ascii="Calibri" w:hAnsi="Calibri" w:eastAsia="Hiragino Sans GB"/>
          <w:b w:val="0"/>
          <w:color w:val="5E6268"/>
          <w:sz w:val="22"/>
        </w:rPr>
        <w:t>仅包含已发布研究合约、公开报告路径和可复查映射；不包含内部运行记录、鉴权或生产提示。</w:t>
      </w:r>
    </w:p>
    <w:p>
      <w:r>
        <w:br w:type="page"/>
      </w:r>
    </w:p>
    <w:p>
      <w:pPr>
        <w:pStyle w:val="SectionLabel"/>
      </w:pPr>
      <w:r>
        <w:rPr>
          <w:rFonts w:ascii="Calibri" w:hAnsi="Calibri" w:eastAsia="Hiragino Sans GB"/>
          <w:b/>
          <w:color w:val="1D5FD1"/>
          <w:sz w:val="17"/>
        </w:rPr>
        <w:t>PROVENANCE LEDGER</w:t>
      </w:r>
    </w:p>
    <w:p>
      <w:pPr>
        <w:pStyle w:val="Heading1"/>
      </w:pPr>
      <w:r>
        <w:t>9. 完整来源账本</w:t>
      </w:r>
    </w:p>
    <w:p>
      <w:pPr>
        <w:keepLines w:val="0"/>
      </w:pPr>
      <w:r>
        <w:rPr>
          <w:rFonts w:ascii="Calibri" w:hAnsi="Calibri" w:eastAsia="Hiragino Sans GB"/>
          <w:b w:val="0"/>
          <w:color w:val="111111"/>
          <w:sz w:val="22"/>
        </w:rPr>
        <w:t>共 80 条公开来源。标题可点击进入对应研究详情；本表保留日期、类别和主要证据角色。</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520"/>
        <w:gridCol w:w="1240"/>
        <w:gridCol w:w="5940"/>
        <w:gridCol w:w="1660"/>
      </w:tblGrid>
      <w:tr>
        <w:trPr>
          <w:cantSplit/>
          <w:tblHeader w:val="true"/>
        </w:trPr>
        <w:tc>
          <w:tcPr>
            <w:tcW w:type="dxa" w:w="52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NO.</w:t>
            </w:r>
          </w:p>
        </w:tc>
        <w:tc>
          <w:tcPr>
            <w:tcW w:type="dxa" w:w="12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DATE</w:t>
            </w:r>
          </w:p>
        </w:tc>
        <w:tc>
          <w:tcPr>
            <w:tcW w:type="dxa" w:w="59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REPORT</w:t>
            </w:r>
          </w:p>
        </w:tc>
        <w:tc>
          <w:tcPr>
            <w:tcW w:type="dxa" w:w="1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ROLE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8">
              <w:r>
                <w:rPr>
                  <w:color w:val="1D5FD1"/>
                  <w:u w:val="single"/>
                  <w:b/>
                  <w:sz w:val="16"/>
                  <w:szCs w:val="16"/>
                  <w:rFonts w:ascii="Calibri" w:hAnsi="Calibri" w:eastAsia="Hiragino Sans GB"/>
                </w:rPr>
                <w:t>AI 电力篮子相关性风险：公用事业分析师研究记录，2026-07-19</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69">
              <w:r>
                <w:rPr>
                  <w:color w:val="1D5FD1"/>
                  <w:u w:val="single"/>
                  <w:b/>
                  <w:sz w:val="16"/>
                  <w:szCs w:val="16"/>
                  <w:rFonts w:ascii="Calibri" w:hAnsi="Calibri" w:eastAsia="Hiragino Sans GB"/>
                </w:rPr>
                <w:t>全球高利率环境下公用事业CapEx放缓风险对电力设备制造商订单韧性的压力测试报告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70">
              <w:r>
                <w:rPr>
                  <w:color w:val="1D5FD1"/>
                  <w:u w:val="single"/>
                  <w:b/>
                  <w:sz w:val="16"/>
                  <w:szCs w:val="16"/>
                  <w:rFonts w:ascii="Calibri" w:hAnsi="Calibri" w:eastAsia="Hiragino Sans GB"/>
                </w:rPr>
                <w:t>记忆体降价后的 AI 数据中心电力采购、并网排队与需量电费再定价</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71">
              <w:r>
                <w:rPr>
                  <w:color w:val="1D5FD1"/>
                  <w:u w:val="single"/>
                  <w:b/>
                  <w:sz w:val="16"/>
                  <w:szCs w:val="16"/>
                  <w:rFonts w:ascii="Calibri" w:hAnsi="Calibri" w:eastAsia="Hiragino Sans GB"/>
                </w:rPr>
                <w:t>2026-07-19 在10年期国债1.73%的环境下，为A股红利防御总账簿相对久期与现金定规模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26">
              <w:r>
                <w:rPr>
                  <w:color w:val="1D5FD1"/>
                  <w:u w:val="single"/>
                  <w:b/>
                  <w:sz w:val="16"/>
                  <w:szCs w:val="16"/>
                  <w:rFonts w:ascii="Calibri" w:hAnsi="Calibri" w:eastAsia="Hiragino Sans GB"/>
                </w:rPr>
                <w:t>2026-07-19 在2026-08-31半年报窗口前，把医药红利子仓重新锚定回A股红利防御总账簿</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72">
              <w:r>
                <w:rPr>
                  <w:color w:val="1D5FD1"/>
                  <w:u w:val="single"/>
                  <w:b/>
                  <w:sz w:val="16"/>
                  <w:szCs w:val="16"/>
                  <w:rFonts w:ascii="Calibri" w:hAnsi="Calibri" w:eastAsia="Hiragino Sans GB"/>
                </w:rPr>
                <w:t>AI用电稀缺向业绩的传导：A股公用事业与电网设备公司的兑现度研判</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28">
              <w:r>
                <w:rPr>
                  <w:color w:val="1D5FD1"/>
                  <w:u w:val="single"/>
                  <w:b/>
                  <w:sz w:val="16"/>
                  <w:szCs w:val="16"/>
                  <w:rFonts w:ascii="Calibri" w:hAnsi="Calibri" w:eastAsia="Hiragino Sans GB"/>
                </w:rPr>
                <w:t>从 GPU 硬件 Beta 到电力物理瓶颈：AI 产业链中上游的资产配置与风格旋转</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23">
              <w:r>
                <w:rPr>
                  <w:color w:val="1D5FD1"/>
                  <w:u w:val="single"/>
                  <w:b/>
                  <w:sz w:val="16"/>
                  <w:szCs w:val="16"/>
                  <w:rFonts w:ascii="Calibri" w:hAnsi="Calibri" w:eastAsia="Hiragino Sans GB"/>
                </w:rPr>
                <w:t>全球通胀预期及实际利率重定价对能源价格与供应链利润的影响分析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22">
              <w:r>
                <w:rPr>
                  <w:color w:val="1D5FD1"/>
                  <w:u w:val="single"/>
                  <w:b/>
                  <w:sz w:val="16"/>
                  <w:szCs w:val="16"/>
                  <w:rFonts w:ascii="Calibri" w:hAnsi="Calibri" w:eastAsia="Hiragino Sans GB"/>
                </w:rPr>
                <w:t>增长惊吓与通胀粘性下的美联储、欧洲央行政策路径压力测试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20">
              <w:r>
                <w:rPr>
                  <w:color w:val="1D5FD1"/>
                  <w:u w:val="single"/>
                  <w:b/>
                  <w:sz w:val="16"/>
                  <w:szCs w:val="16"/>
                  <w:rFonts w:ascii="Calibri" w:hAnsi="Calibri" w:eastAsia="Hiragino Sans GB"/>
                </w:rPr>
                <w:t>2026-07-19 研究卡：Meta Compute、B200租金通缩与算力市场分层</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73">
              <w:r>
                <w:rPr>
                  <w:color w:val="1D5FD1"/>
                  <w:u w:val="single"/>
                  <w:b/>
                  <w:sz w:val="16"/>
                  <w:szCs w:val="16"/>
                  <w:rFonts w:ascii="Calibri" w:hAnsi="Calibri" w:eastAsia="Hiragino Sans GB"/>
                </w:rPr>
                <w:t>TMT行业周报研究计划</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74">
              <w:r>
                <w:rPr>
                  <w:color w:val="1D5FD1"/>
                  <w:u w:val="single"/>
                  <w:b/>
                  <w:sz w:val="16"/>
                  <w:szCs w:val="16"/>
                  <w:rFonts w:ascii="Calibri" w:hAnsi="Calibri" w:eastAsia="Hiragino Sans GB"/>
                </w:rPr>
                <w:t>科创50清算与Q4解禁压力下的杠铃配置和对冲仓位 sizing</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75">
              <w:r>
                <w:rPr>
                  <w:color w:val="1D5FD1"/>
                  <w:u w:val="single"/>
                  <w:b/>
                  <w:sz w:val="16"/>
                  <w:szCs w:val="16"/>
                  <w:rFonts w:ascii="Calibri" w:hAnsi="Calibri" w:eastAsia="Hiragino Sans GB"/>
                </w:rPr>
                <w:t>全球宏观研究记录：Capex 压力测试下美国公用事业与科技成长股的风格轮动与估值分化</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27">
              <w:r>
                <w:rPr>
                  <w:color w:val="1D5FD1"/>
                  <w:u w:val="single"/>
                  <w:b/>
                  <w:sz w:val="16"/>
                  <w:szCs w:val="16"/>
                  <w:rFonts w:ascii="Calibri" w:hAnsi="Calibri" w:eastAsia="Hiragino Sans GB"/>
                </w:rPr>
                <w:t>2026-07-19 A股红利削减清单：在不牺牲310bp股息率优势下融资2.77个百分点</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76">
              <w:r>
                <w:rPr>
                  <w:color w:val="1D5FD1"/>
                  <w:u w:val="single"/>
                  <w:b/>
                  <w:sz w:val="16"/>
                  <w:szCs w:val="16"/>
                  <w:rFonts w:ascii="Calibri" w:hAnsi="Calibri" w:eastAsia="Hiragino Sans GB"/>
                </w:rPr>
                <w:t>A股市场结构验证电力链成长防御资金来源：2026-07-17降风险属性研判</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77">
              <w:r>
                <w:rPr>
                  <w:color w:val="1D5FD1"/>
                  <w:u w:val="single"/>
                  <w:b/>
                  <w:sz w:val="16"/>
                  <w:szCs w:val="16"/>
                  <w:rFonts w:ascii="Calibri" w:hAnsi="Calibri" w:eastAsia="Hiragino Sans GB"/>
                </w:rPr>
                <w:t>A股电力稀缺与电网出海业绩兑现下的仓位重构与定价分流研究报告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78">
              <w:r>
                <w:rPr>
                  <w:color w:val="1D5FD1"/>
                  <w:u w:val="single"/>
                  <w:b/>
                  <w:sz w:val="16"/>
                  <w:szCs w:val="16"/>
                  <w:rFonts w:ascii="Calibri" w:hAnsi="Calibri" w:eastAsia="Hiragino Sans GB"/>
                </w:rPr>
                <w:t>AI算力电力需求增长与电力设备出口关税重构的边际风险分析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79">
              <w:r>
                <w:rPr>
                  <w:color w:val="1D5FD1"/>
                  <w:u w:val="single"/>
                  <w:b/>
                  <w:sz w:val="16"/>
                  <w:szCs w:val="16"/>
                  <w:rFonts w:ascii="Calibri" w:hAnsi="Calibri" w:eastAsia="Hiragino Sans GB"/>
                </w:rPr>
                <w:t>2026Q2 业绩窗口后的电力设备筹码再平衡规则</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80">
              <w:r>
                <w:rPr>
                  <w:color w:val="1D5FD1"/>
                  <w:u w:val="single"/>
                  <w:b/>
                  <w:sz w:val="16"/>
                  <w:szCs w:val="16"/>
                  <w:rFonts w:ascii="Calibri" w:hAnsi="Calibri" w:eastAsia="Hiragino Sans GB"/>
                </w:rPr>
                <w:t>全球贸易保护壁垒与美债高利率对电网设备出海持续性及供应链安全的冲击评估研究报告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support</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81">
              <w:r>
                <w:rPr>
                  <w:color w:val="1D5FD1"/>
                  <w:u w:val="single"/>
                  <w:b/>
                  <w:sz w:val="16"/>
                  <w:szCs w:val="16"/>
                  <w:rFonts w:ascii="Calibri" w:hAnsi="Calibri" w:eastAsia="Hiragino Sans GB"/>
                </w:rPr>
                <w:t>AI基础设施与电网并网瓶颈：截至2026-07-19的物理兑现验证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82">
              <w:r>
                <w:rPr>
                  <w:color w:val="1D5FD1"/>
                  <w:u w:val="single"/>
                  <w:b/>
                  <w:sz w:val="16"/>
                  <w:szCs w:val="16"/>
                  <w:rFonts w:ascii="Calibri" w:hAnsi="Calibri" w:eastAsia="Hiragino Sans GB"/>
                </w:rPr>
                <w:t>电力红利去溢价 / 多资产利率对冲研究链的终期质检与出版合规审查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83">
              <w:r>
                <w:rPr>
                  <w:color w:val="1D5FD1"/>
                  <w:u w:val="single"/>
                  <w:b/>
                  <w:sz w:val="16"/>
                  <w:szCs w:val="16"/>
                  <w:rFonts w:ascii="Calibri" w:hAnsi="Calibri" w:eastAsia="Hiragino Sans GB"/>
                </w:rPr>
                <w:t>AI 基础设施分析师研究记录：Hyperscaler Capex 质量拆分与电力实物需求传导压力测试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84">
              <w:r>
                <w:rPr>
                  <w:color w:val="1D5FD1"/>
                  <w:u w:val="single"/>
                  <w:b/>
                  <w:sz w:val="16"/>
                  <w:szCs w:val="16"/>
                  <w:rFonts w:ascii="Calibri" w:hAnsi="Calibri" w:eastAsia="Hiragino Sans GB"/>
                </w:rPr>
                <w:t>首席策略师研究记录："Capex 削减 + 10Y 破 5%"情景下的跨资产构建——当股权久期与成长 beta 同跌...</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85">
              <w:r>
                <w:rPr>
                  <w:color w:val="1D5FD1"/>
                  <w:u w:val="single"/>
                  <w:b/>
                  <w:sz w:val="16"/>
                  <w:szCs w:val="16"/>
                  <w:rFonts w:ascii="Calibri" w:hAnsi="Calibri" w:eastAsia="Hiragino Sans GB"/>
                </w:rPr>
                <w:t>2026-07-19 | 7月19日：AI电力主线从稀缺叙事进入现金流、关税与融资三重筛选</w:t>
              </w:r>
            </w:hyperlink>
            <w:r>
              <w:rPr>
                <w:rFonts w:ascii="Calibri" w:hAnsi="Calibri" w:eastAsia="Hiragino Sans GB"/>
                <w:color w:val="5E6268"/>
                <w:sz w:val="14"/>
              </w:rPr>
              <w:br/>
              <w:t>AI Institute 综合编辑 · Reader report</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daily_synthesis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86">
              <w:r>
                <w:rPr>
                  <w:color w:val="1D5FD1"/>
                  <w:u w:val="single"/>
                  <w:b/>
                  <w:sz w:val="16"/>
                  <w:szCs w:val="16"/>
                  <w:rFonts w:ascii="Calibri" w:hAnsi="Calibri" w:eastAsia="Hiragino Sans GB"/>
                </w:rPr>
                <w:t>A股硬科技板块两融杠杆出清进度与筹码结构压力演变评估报告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87">
              <w:r>
                <w:rPr>
                  <w:color w:val="1D5FD1"/>
                  <w:u w:val="single"/>
                  <w:b/>
                  <w:sz w:val="16"/>
                  <w:szCs w:val="16"/>
                  <w:rFonts w:ascii="Calibri" w:hAnsi="Calibri" w:eastAsia="Hiragino Sans GB"/>
                </w:rPr>
                <w:t>CFFEX T/TL 对冲 A股电力红利久期时的基差、CTD、保证金与展期风险压力测试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19">
              <w:r>
                <w:rPr>
                  <w:color w:val="1D5FD1"/>
                  <w:u w:val="single"/>
                  <w:b/>
                  <w:sz w:val="16"/>
                  <w:szCs w:val="16"/>
                  <w:rFonts w:ascii="Calibri" w:hAnsi="Calibri" w:eastAsia="Hiragino Sans GB"/>
                </w:rPr>
                <w:t>全球宏观研究报告 (Week of 2026-07-13 → 2026-07-17)</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88">
              <w:r>
                <w:rPr>
                  <w:color w:val="1D5FD1"/>
                  <w:u w:val="single"/>
                  <w:b/>
                  <w:sz w:val="16"/>
                  <w:szCs w:val="16"/>
                  <w:rFonts w:ascii="Calibri" w:hAnsi="Calibri" w:eastAsia="Hiragino Sans GB"/>
                </w:rPr>
                <w:t>全局风险预算三因子联合应力测试：套利平仓、容量价格重置与A股两融破位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89">
              <w:r>
                <w:rPr>
                  <w:color w:val="1D5FD1"/>
                  <w:u w:val="single"/>
                  <w:b/>
                  <w:sz w:val="16"/>
                  <w:szCs w:val="16"/>
                  <w:rFonts w:ascii="Calibri" w:hAnsi="Calibri" w:eastAsia="Hiragino Sans GB"/>
                </w:rPr>
                <w:t>12%/5%/5%久期预算的曲线情景执行检验 — 2026-07-19</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0">
              <w:r>
                <w:rPr>
                  <w:color w:val="1D5FD1"/>
                  <w:u w:val="single"/>
                  <w:b/>
                  <w:sz w:val="16"/>
                  <w:szCs w:val="16"/>
                  <w:rFonts w:ascii="Calibri" w:hAnsi="Calibri" w:eastAsia="Hiragino Sans GB"/>
                </w:rPr>
                <w:t>76.9%封顶下12%/5%/5%久期袖的融资方案 - 2026-07-19</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1">
              <w:r>
                <w:rPr>
                  <w:color w:val="1D5FD1"/>
                  <w:u w:val="single"/>
                  <w:b/>
                  <w:sz w:val="16"/>
                  <w:szCs w:val="16"/>
                  <w:rFonts w:ascii="Calibri" w:hAnsi="Calibri" w:eastAsia="Hiragino Sans GB"/>
                </w:rPr>
                <w:t>A股策略研究记录：高股息电力的久期对冲与出海设备杠铃</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2">
              <w:r>
                <w:rPr>
                  <w:color w:val="1D5FD1"/>
                  <w:u w:val="single"/>
                  <w:b/>
                  <w:sz w:val="16"/>
                  <w:szCs w:val="16"/>
                  <w:rFonts w:ascii="Calibri" w:hAnsi="Calibri" w:eastAsia="Hiragino Sans GB"/>
                </w:rPr>
                <w:t>T/TL对冲失效下的非线性策略评估：考察期权领口及波动率交易能否覆盖基差风险与保证金成本</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3">
              <w:r>
                <w:rPr>
                  <w:color w:val="1D5FD1"/>
                  <w:u w:val="single"/>
                  <w:b/>
                  <w:sz w:val="16"/>
                  <w:szCs w:val="16"/>
                  <w:rFonts w:ascii="Calibri" w:hAnsi="Calibri" w:eastAsia="Hiragino Sans GB"/>
                </w:rPr>
                <w:t>记忆体变成可对冲成本项：AI 数据中心 TCO 与超大规模资本开支重估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4">
              <w:r>
                <w:rPr>
                  <w:color w:val="1D5FD1"/>
                  <w:u w:val="single"/>
                  <w:b/>
                  <w:sz w:val="16"/>
                  <w:szCs w:val="16"/>
                  <w:rFonts w:ascii="Calibri" w:hAnsi="Calibri" w:eastAsia="Hiragino Sans GB"/>
                </w:rPr>
                <w:t>因子研究周报 · 研究稿（02 weekly research）</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5">
              <w:r>
                <w:rPr>
                  <w:color w:val="1D5FD1"/>
                  <w:u w:val="single"/>
                  <w:b/>
                  <w:sz w:val="16"/>
                  <w:szCs w:val="16"/>
                  <w:rFonts w:ascii="Calibri" w:hAnsi="Calibri" w:eastAsia="Hiragino Sans GB"/>
                </w:rPr>
                <w:t>2026-07-19 研究卡 — 石油美元从美债轮转至美元计价AI私募股权：久期、融资曲线与海湾货币锚</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6">
              <w:r>
                <w:rPr>
                  <w:color w:val="1D5FD1"/>
                  <w:u w:val="single"/>
                  <w:b/>
                  <w:sz w:val="16"/>
                  <w:szCs w:val="16"/>
                  <w:rFonts w:ascii="Calibri" w:hAnsi="Calibri" w:eastAsia="Hiragino Sans GB"/>
                </w:rPr>
                <w:t>2026-07-19 研究卡：AI算力外溢的地缘合规锁与主权算力资产地缘溢价重塑</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7">
              <w:r>
                <w:rPr>
                  <w:color w:val="1D5FD1"/>
                  <w:u w:val="single"/>
                  <w:b/>
                  <w:sz w:val="16"/>
                  <w:szCs w:val="16"/>
                  <w:rFonts w:ascii="Calibri" w:hAnsi="Calibri" w:eastAsia="Hiragino Sans GB"/>
                </w:rPr>
                <w:t>2026-07-19 研究卡：英伟达 B200 算力企业级 SLA 溢价定量拆解</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2026-07-19</w:t>
            </w:r>
          </w:p>
        </w:tc>
        <w:tc>
          <w:tcPr>
            <w:tcW w:type="dxa" w:w="5940"/>
            <w:tcMar>
              <w:top w:w="80" w:type="dxa"/>
              <w:bottom w:w="80" w:type="dxa"/>
              <w:start w:w="120" w:type="dxa"/>
              <w:end w:w="120" w:type="dxa"/>
            </w:tcMar>
          </w:tcPr>
          <w:p>
            <w:pPr>
              <w:spacing w:after="20"/>
            </w:pPr>
            <w:hyperlink r:id="rId98">
              <w:r>
                <w:rPr>
                  <w:color w:val="1D5FD1"/>
                  <w:u w:val="single"/>
                  <w:b/>
                  <w:sz w:val="16"/>
                  <w:szCs w:val="16"/>
                  <w:rFonts w:ascii="Calibri" w:hAnsi="Calibri" w:eastAsia="Hiragino Sans GB"/>
                </w:rPr>
                <w:t>布伦特 $88 是否已充分计入海湾通行风险？</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99">
              <w:r>
                <w:rPr>
                  <w:color w:val="1D5FD1"/>
                  <w:u w:val="single"/>
                  <w:b/>
                  <w:sz w:val="16"/>
                  <w:szCs w:val="16"/>
                  <w:rFonts w:ascii="Calibri" w:hAnsi="Calibri" w:eastAsia="Hiragino Sans GB"/>
                </w:rPr>
                <w:t>TSMC 2027-2029先进制程与先进封装负载能否吸收折旧墙</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00">
              <w:r>
                <w:rPr>
                  <w:color w:val="1D5FD1"/>
                  <w:u w:val="single"/>
                  <w:b/>
                  <w:sz w:val="16"/>
                  <w:szCs w:val="16"/>
                  <w:rFonts w:ascii="Calibri" w:hAnsi="Calibri" w:eastAsia="Hiragino Sans GB"/>
                </w:rPr>
                <w:t>2026-07-18 — 研究记录 02：AI 算力基础设施与能源瓶颈</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01">
              <w:r>
                <w:rPr>
                  <w:color w:val="1D5FD1"/>
                  <w:u w:val="single"/>
                  <w:b/>
                  <w:sz w:val="16"/>
                  <w:szCs w:val="16"/>
                  <w:rFonts w:ascii="Calibri" w:hAnsi="Calibri" w:eastAsia="Hiragino Sans GB"/>
                </w:rPr>
                <w:t>AI数据中心 Time-to-Power 折价曲线 —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02">
              <w:r>
                <w:rPr>
                  <w:color w:val="1D5FD1"/>
                  <w:u w:val="single"/>
                  <w:b/>
                  <w:sz w:val="16"/>
                  <w:szCs w:val="16"/>
                  <w:rFonts w:ascii="Calibri" w:hAnsi="Calibri" w:eastAsia="Hiragino Sans GB"/>
                </w:rPr>
                <w:t>AI Capex 路径分化：从芯片驱动到内制芯片与"算力即可交易资产"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03">
              <w:r>
                <w:rPr>
                  <w:color w:val="1D5FD1"/>
                  <w:u w:val="single"/>
                  <w:b/>
                  <w:sz w:val="16"/>
                  <w:szCs w:val="16"/>
                  <w:rFonts w:ascii="Calibri" w:hAnsi="Calibri" w:eastAsia="Hiragino Sans GB"/>
                </w:rPr>
                <w:t>2026-07-18 AI 资本开支消化气穴仪表盘:公司与供应链披露</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04">
              <w:r>
                <w:rPr>
                  <w:color w:val="1D5FD1"/>
                  <w:u w:val="single"/>
                  <w:b/>
                  <w:sz w:val="16"/>
                  <w:szCs w:val="16"/>
                  <w:rFonts w:ascii="Calibri" w:hAnsi="Calibri" w:eastAsia="Hiragino Sans GB"/>
                </w:rPr>
                <w:t>研究报告：可交付 AI 算力产能评分框架 (2026-2027)</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05">
              <w:r>
                <w:rPr>
                  <w:color w:val="1D5FD1"/>
                  <w:u w:val="single"/>
                  <w:b/>
                  <w:sz w:val="16"/>
                  <w:szCs w:val="16"/>
                  <w:rFonts w:ascii="Calibri" w:hAnsi="Calibri" w:eastAsia="Hiragino Sans GB"/>
                </w:rPr>
                <w:t>0.50%票据利率下限对A股红利资产低折现率定价的持续性评估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06">
              <w:r>
                <w:rPr>
                  <w:color w:val="1D5FD1"/>
                  <w:u w:val="single"/>
                  <w:b/>
                  <w:sz w:val="16"/>
                  <w:szCs w:val="16"/>
                  <w:rFonts w:ascii="Calibri" w:hAnsi="Calibri" w:eastAsia="Hiragino Sans GB"/>
                </w:rPr>
                <w:t>2026-07-18 — 合并成长去杠杆风险与受限红利地板后的A股风格权重结论</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34">
              <w:r>
                <w:rPr>
                  <w:color w:val="1D5FD1"/>
                  <w:u w:val="single"/>
                  <w:b/>
                  <w:sz w:val="16"/>
                  <w:szCs w:val="16"/>
                  <w:rFonts w:ascii="Calibri" w:hAnsi="Calibri" w:eastAsia="Hiragino Sans GB"/>
                </w:rPr>
                <w:t>2026-07-18 — 恒生科技：整体上调篮子，还是个股精选式重估？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32">
              <w:r>
                <w:rPr>
                  <w:color w:val="1D5FD1"/>
                  <w:u w:val="single"/>
                  <w:b/>
                  <w:sz w:val="16"/>
                  <w:szCs w:val="16"/>
                  <w:rFonts w:ascii="Calibri" w:hAnsi="Calibri" w:eastAsia="Hiragino Sans GB"/>
                </w:rPr>
                <w:t>2026-07-18 — 阿里云AI变现与capex/FCF拖累压力测试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33">
              <w:r>
                <w:rPr>
                  <w:color w:val="1D5FD1"/>
                  <w:u w:val="single"/>
                  <w:b/>
                  <w:sz w:val="16"/>
                  <w:szCs w:val="16"/>
                  <w:rFonts w:ascii="Calibri" w:hAnsi="Calibri" w:eastAsia="Hiragino Sans GB"/>
                </w:rPr>
                <w:t>Apple中国AI获批之后：港股平台、Apple中国份额、A股换机链，谁先重估？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24">
              <w:r>
                <w:rPr>
                  <w:color w:val="1D5FD1"/>
                  <w:u w:val="single"/>
                  <w:b/>
                  <w:sz w:val="16"/>
                  <w:szCs w:val="16"/>
                  <w:rFonts w:ascii="Calibri" w:hAnsi="Calibri" w:eastAsia="Hiragino Sans GB"/>
                </w:rPr>
                <w:t>核心PCE与核心CPI楔形：可持续去通胀，还是能源假动作？</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07">
              <w:r>
                <w:rPr>
                  <w:color w:val="1D5FD1"/>
                  <w:u w:val="single"/>
                  <w:b/>
                  <w:sz w:val="16"/>
                  <w:szCs w:val="16"/>
                  <w:rFonts w:ascii="Calibri" w:hAnsi="Calibri" w:eastAsia="Hiragino Sans GB"/>
                </w:rPr>
                <w:t>油价再冲击下的 CNH 压力区与人行降息窗口</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08">
              <w:r>
                <w:rPr>
                  <w:color w:val="1D5FD1"/>
                  <w:u w:val="single"/>
                  <w:b/>
                  <w:sz w:val="16"/>
                  <w:szCs w:val="16"/>
                  <w:rFonts w:ascii="Calibri" w:hAnsi="Calibri" w:eastAsia="Hiragino Sans GB"/>
                </w:rPr>
                <w:t>2026-07-18 - 中国半导体与ODM供应链边际订单暴露筛选</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09">
              <w:r>
                <w:rPr>
                  <w:color w:val="1D5FD1"/>
                  <w:u w:val="single"/>
                  <w:b/>
                  <w:sz w:val="16"/>
                  <w:szCs w:val="16"/>
                  <w:rFonts w:ascii="Calibri" w:hAnsi="Calibri" w:eastAsia="Hiragino Sans GB"/>
                </w:rPr>
                <w:t>2026-07-18 AI数据中心电力接入仪表盘：压力测试云巨头签约量与电网现实的裂口</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10">
              <w:r>
                <w:rPr>
                  <w:color w:val="1D5FD1"/>
                  <w:u w:val="single"/>
                  <w:b/>
                  <w:sz w:val="16"/>
                  <w:szCs w:val="16"/>
                  <w:rFonts w:ascii="Calibri" w:hAnsi="Calibri" w:eastAsia="Hiragino Sans GB"/>
                </w:rPr>
                <w:t>2026-07-18 研究记录07：长鑫科技、科创硬科技资金与流动性配给压力测试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11">
              <w:r>
                <w:rPr>
                  <w:color w:val="1D5FD1"/>
                  <w:u w:val="single"/>
                  <w:b/>
                  <w:sz w:val="16"/>
                  <w:szCs w:val="16"/>
                  <w:rFonts w:ascii="Calibri" w:hAnsi="Calibri" w:eastAsia="Hiragino Sans GB"/>
                </w:rPr>
                <w:t>A股风格切换的市场结构归因：两融去杠杆、ETF资金流与估值分化的量化拆解与成长股出清门槛评估报告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12">
              <w:r>
                <w:rPr>
                  <w:color w:val="1D5FD1"/>
                  <w:u w:val="single"/>
                  <w:b/>
                  <w:sz w:val="16"/>
                  <w:szCs w:val="16"/>
                  <w:rFonts w:ascii="Calibri" w:hAnsi="Calibri" w:eastAsia="Hiragino Sans GB"/>
                </w:rPr>
                <w:t>EML光芯片瓶颈的传导与国内AI算力交付节奏重估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13">
              <w:r>
                <w:rPr>
                  <w:color w:val="1D5FD1"/>
                  <w:u w:val="single"/>
                  <w:b/>
                  <w:sz w:val="16"/>
                  <w:szCs w:val="16"/>
                  <w:rFonts w:ascii="Calibri" w:hAnsi="Calibri" w:eastAsia="Hiragino Sans GB"/>
                </w:rPr>
                <w:t>th T07 三条腿的实证检验 — A股AI硬件篮子 —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14">
              <w:r>
                <w:rPr>
                  <w:color w:val="1D5FD1"/>
                  <w:u w:val="single"/>
                  <w:b/>
                  <w:sz w:val="16"/>
                  <w:szCs w:val="16"/>
                  <w:rFonts w:ascii="Calibri" w:hAnsi="Calibri" w:eastAsia="Hiragino Sans GB"/>
                </w:rPr>
                <w:t>电力与电网瓶颈已成为 AI 算力的稀缺期权 - 工作日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15">
              <w:r>
                <w:rPr>
                  <w:color w:val="1D5FD1"/>
                  <w:u w:val="single"/>
                  <w:b/>
                  <w:sz w:val="16"/>
                  <w:szCs w:val="16"/>
                  <w:rFonts w:ascii="Calibri" w:hAnsi="Calibri" w:eastAsia="Hiragino Sans GB"/>
                </w:rPr>
                <w:t>2026-07-18 策略研究记录：围绕7月25日PCE / 7月28–29日FOMC，为"信用≈久期哑铃"与A/B→C轮动定...</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16">
              <w:r>
                <w:rPr>
                  <w:color w:val="1D5FD1"/>
                  <w:u w:val="single"/>
                  <w:b/>
                  <w:sz w:val="16"/>
                  <w:szCs w:val="16"/>
                  <w:rFonts w:ascii="Calibri" w:hAnsi="Calibri" w:eastAsia="Hiragino Sans GB"/>
                </w:rPr>
                <w:t>压力测试13%火电灵活性仓位：容量电价、辅助服务、煤价传导，还是迁往受监管公用事业/高股息防御？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17">
              <w:r>
                <w:rPr>
                  <w:color w:val="1D5FD1"/>
                  <w:u w:val="single"/>
                  <w:b/>
                  <w:sz w:val="16"/>
                  <w:szCs w:val="16"/>
                  <w:rFonts w:ascii="Calibri" w:hAnsi="Calibri" w:eastAsia="Hiragino Sans GB"/>
                </w:rPr>
                <w:t>策略专题报告：交易 AI 电力化与电网瓶颈的估值分化</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18">
              <w:r>
                <w:rPr>
                  <w:color w:val="1D5FD1"/>
                  <w:u w:val="single"/>
                  <w:b/>
                  <w:sz w:val="16"/>
                  <w:szCs w:val="16"/>
                  <w:rFonts w:ascii="Calibri" w:hAnsi="Calibri" w:eastAsia="Hiragino Sans GB"/>
                </w:rPr>
                <w:t>AI基础设施capex压力测试 - 2026-07-18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19">
              <w:r>
                <w:rPr>
                  <w:color w:val="1D5FD1"/>
                  <w:u w:val="single"/>
                  <w:b/>
                  <w:sz w:val="16"/>
                  <w:szCs w:val="16"/>
                  <w:rFonts w:ascii="Calibri" w:hAnsi="Calibri" w:eastAsia="Hiragino Sans GB"/>
                </w:rPr>
                <w:t>2026-07-18｜AI基础设施压力测试：capex、GPU集群利用率与电力约束</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20">
              <w:r>
                <w:rPr>
                  <w:color w:val="1D5FD1"/>
                  <w:u w:val="single"/>
                  <w:b/>
                  <w:sz w:val="16"/>
                  <w:szCs w:val="16"/>
                  <w:rFonts w:ascii="Calibri" w:hAnsi="Calibri" w:eastAsia="Hiragino Sans GB"/>
                </w:rPr>
                <w:t>2027年HBM与先进封装供给曲线 vs. 台湾/韩国风险溢价 —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21">
              <w:r>
                <w:rPr>
                  <w:color w:val="1D5FD1"/>
                  <w:u w:val="single"/>
                  <w:b/>
                  <w:sz w:val="16"/>
                  <w:szCs w:val="16"/>
                  <w:rFonts w:ascii="Calibri" w:hAnsi="Calibri" w:eastAsia="Hiragino Sans GB"/>
                </w:rPr>
                <w:t>A股降杠杆阶段性底部后的信用扩张与货币政策稳底盘效能评估报告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22">
              <w:r>
                <w:rPr>
                  <w:color w:val="1D5FD1"/>
                  <w:u w:val="single"/>
                  <w:b/>
                  <w:sz w:val="16"/>
                  <w:szCs w:val="16"/>
                  <w:rFonts w:ascii="Calibri" w:hAnsi="Calibri" w:eastAsia="Hiragino Sans GB"/>
                </w:rPr>
                <w:t>核心PCE路径与小盘股再融资缓解背后的前端利率开关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23">
              <w:r>
                <w:rPr>
                  <w:color w:val="1D5FD1"/>
                  <w:u w:val="single"/>
                  <w:b/>
                  <w:sz w:val="16"/>
                  <w:szCs w:val="16"/>
                  <w:rFonts w:ascii="Calibri" w:hAnsi="Calibri" w:eastAsia="Hiragino Sans GB"/>
                </w:rPr>
                <w:t>2026-07-18 全球宏观 前序研究：美债10年期通向5.0%的路径形态——熊陡/期限溢价 vs 通胀恐慌式平...</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24">
              <w:r>
                <w:rPr>
                  <w:color w:val="1D5FD1"/>
                  <w:u w:val="single"/>
                  <w:b/>
                  <w:sz w:val="16"/>
                  <w:szCs w:val="16"/>
                  <w:rFonts w:ascii="Calibri" w:hAnsi="Calibri" w:eastAsia="Hiragino Sans GB"/>
                </w:rPr>
                <w:t>2026-07-18 策略报告：跨资产利率分支向A股风格与行业权重的转译</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25">
              <w:r>
                <w:rPr>
                  <w:color w:val="1D5FD1"/>
                  <w:u w:val="single"/>
                  <w:b/>
                  <w:sz w:val="16"/>
                  <w:szCs w:val="16"/>
                  <w:rFonts w:ascii="Calibri" w:hAnsi="Calibri" w:eastAsia="Hiragino Sans GB"/>
                </w:rPr>
                <w:t>2026-07-18 — A股AI硬件与半导体板块的估值分化与两融去杠杆压力</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26">
              <w:r>
                <w:rPr>
                  <w:color w:val="1D5FD1"/>
                  <w:u w:val="single"/>
                  <w:b/>
                  <w:sz w:val="16"/>
                  <w:szCs w:val="16"/>
                  <w:rFonts w:ascii="Calibri" w:hAnsi="Calibri" w:eastAsia="Hiragino Sans GB"/>
                </w:rPr>
                <w:t>中美利差 −286bp 下人民币对三季度降息空间的约束</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27">
              <w:r>
                <w:rPr>
                  <w:color w:val="1D5FD1"/>
                  <w:u w:val="single"/>
                  <w:b/>
                  <w:sz w:val="16"/>
                  <w:szCs w:val="16"/>
                  <w:rFonts w:ascii="Calibri" w:hAnsi="Calibri" w:eastAsia="Hiragino Sans GB"/>
                </w:rPr>
                <w:t>公用事业研究报告：数据中心转向 BTM 燃气电源后的费率基础防御（2026-07-18）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28">
              <w:r>
                <w:rPr>
                  <w:color w:val="1D5FD1"/>
                  <w:u w:val="single"/>
                  <w:b/>
                  <w:sz w:val="16"/>
                  <w:szCs w:val="16"/>
                  <w:rFonts w:ascii="Calibri" w:hAnsi="Calibri" w:eastAsia="Hiragino Sans GB"/>
                </w:rPr>
                <w:t>油价→核心通胀的传导阈值与美联储反应函数 — 工作日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29">
              <w:r>
                <w:rPr>
                  <w:color w:val="1D5FD1"/>
                  <w:u w:val="single"/>
                  <w:b/>
                  <w:sz w:val="16"/>
                  <w:szCs w:val="16"/>
                  <w:rFonts w:ascii="Calibri" w:hAnsi="Calibri" w:eastAsia="Hiragino Sans GB"/>
                </w:rPr>
                <w:t>跨资产与风格仓位风险预算配置：XLF信号的映射与防御性轮动</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30">
              <w:r>
                <w:rPr>
                  <w:color w:val="1D5FD1"/>
                  <w:u w:val="single"/>
                  <w:b/>
                  <w:sz w:val="16"/>
                  <w:szCs w:val="16"/>
                  <w:rFonts w:ascii="Calibri" w:hAnsi="Calibri" w:eastAsia="Hiragino Sans GB"/>
                </w:rPr>
                <w:t>2026-07-18 — AI CapEx 串联约束链：从硅片侧转向内存与电力</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31">
              <w:r>
                <w:rPr>
                  <w:color w:val="1D5FD1"/>
                  <w:u w:val="single"/>
                  <w:b/>
                  <w:sz w:val="16"/>
                  <w:szCs w:val="16"/>
                  <w:rFonts w:ascii="Calibri" w:hAnsi="Calibri" w:eastAsia="Hiragino Sans GB"/>
                </w:rPr>
                <w:t>工业通胀偏硬情景下CNH、EUR、JPY与EMFX的排序 - 2026-07-18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32">
              <w:r>
                <w:rPr>
                  <w:color w:val="1D5FD1"/>
                  <w:u w:val="single"/>
                  <w:b/>
                  <w:sz w:val="16"/>
                  <w:szCs w:val="16"/>
                  <w:rFonts w:ascii="Calibri" w:hAnsi="Calibri" w:eastAsia="Hiragino Sans GB"/>
                </w:rPr>
                <w:t>能源冲击、美元走强与亚洲央行的政策边界</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33">
              <w:r>
                <w:rPr>
                  <w:color w:val="1D5FD1"/>
                  <w:u w:val="single"/>
                  <w:b/>
                  <w:sz w:val="16"/>
                  <w:szCs w:val="16"/>
                  <w:rFonts w:ascii="Calibri" w:hAnsi="Calibri" w:eastAsia="Hiragino Sans GB"/>
                </w:rPr>
                <w:t>研究报告：本土HBM与先进封装国产化链条的良率突破及材料瓶颈（2026-2027）</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34">
              <w:r>
                <w:rPr>
                  <w:color w:val="1D5FD1"/>
                  <w:u w:val="single"/>
                  <w:b/>
                  <w:sz w:val="16"/>
                  <w:szCs w:val="16"/>
                  <w:rFonts w:ascii="Calibri" w:hAnsi="Calibri" w:eastAsia="Hiragino Sans GB"/>
                </w:rPr>
                <w:t>从可融资储能收入堆栈到组合权重（工作日：2026-07-18）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35">
              <w:r>
                <w:rPr>
                  <w:color w:val="1D5FD1"/>
                  <w:u w:val="single"/>
                  <w:b/>
                  <w:sz w:val="16"/>
                  <w:szCs w:val="16"/>
                  <w:rFonts w:ascii="Calibri" w:hAnsi="Calibri" w:eastAsia="Hiragino Sans GB"/>
                </w:rPr>
                <w:t>2026-07-18 亚洲半导体链敏感度：为2026-07-29利用率/ROI冲击构建的"双时钟"排序</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80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2026-07-18</w:t>
            </w:r>
          </w:p>
        </w:tc>
        <w:tc>
          <w:tcPr>
            <w:tcW w:type="dxa" w:w="5940"/>
            <w:tcMar>
              <w:top w:w="80" w:type="dxa"/>
              <w:bottom w:w="80" w:type="dxa"/>
              <w:start w:w="120" w:type="dxa"/>
              <w:end w:w="120" w:type="dxa"/>
            </w:tcMar>
          </w:tcPr>
          <w:p>
            <w:pPr>
              <w:spacing w:after="20"/>
            </w:pPr>
            <w:hyperlink r:id="rId136">
              <w:r>
                <w:rPr>
                  <w:color w:val="1D5FD1"/>
                  <w:u w:val="single"/>
                  <w:b/>
                  <w:sz w:val="16"/>
                  <w:szCs w:val="16"/>
                  <w:rFonts w:ascii="Calibri" w:hAnsi="Calibri" w:eastAsia="Hiragino Sans GB"/>
                </w:rPr>
                <w:t>A股两融清算路径与硬科技板块平仓风险压力测试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bl>
    <w:p>
      <w:pPr>
        <w:pStyle w:val="TableCitation"/>
      </w:pPr>
      <w:r>
        <w:t>来源账本来自同一周度发布合约；未引入私有运行记录、密钥或内部提示。</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Hiragino Sans GB"/>
        <w:b/>
        <w:color w:val="5E6268"/>
        <w:sz w:val="17"/>
      </w:rPr>
      <w:t xml:space="preserve">ADMIN RESEARCH PUBLICATION  ·  </w:t>
    </w:r>
    <w:r>
      <w:rPr>
        <w:rFonts w:ascii="Calibri" w:hAnsi="Calibri" w:eastAsia="Hiragino Sans GB"/>
        <w:color w:val="5E6268"/>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Hiragino Sans GB"/>
        <w:b/>
        <w:color w:val="5E6268"/>
        <w:sz w:val="17"/>
      </w:rPr>
      <w:t>AI INSTITUTE  /  WEEKLY RESEARCH  /  2026-W29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264" w:lineRule="auto"/>
    </w:pPr>
    <w:rPr>
      <w:rFonts w:ascii="Calibri" w:hAnsi="Calibri" w:eastAsia="Hiragino Sans GB"/>
      <w:b w:val="0"/>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Hiragino Sans GB"/>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Hiragino Sans GB"/>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Hiragino Sans GB"/>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itation">
    <w:name w:val="Table Citation"/>
    <w:pPr>
      <w:keepNext w:val="0"/>
      <w:spacing w:before="80" w:after="80" w:line="240" w:lineRule="auto"/>
    </w:pPr>
    <w:rPr>
      <w:rFonts w:ascii="Calibri" w:hAnsi="Calibri" w:eastAsia="Hiragino Sans GB"/>
      <w:b w:val="0"/>
      <w:color w:val="5E6268"/>
      <w:sz w:val="17"/>
    </w:rPr>
  </w:style>
  <w:style w:type="paragraph" w:customStyle="1" w:styleId="SectionLabel">
    <w:name w:val="Section Label"/>
    <w:pPr>
      <w:keepNext/>
      <w:spacing w:before="0" w:after="80" w:line="240" w:lineRule="auto"/>
    </w:pPr>
    <w:rPr>
      <w:rFonts w:ascii="Calibri" w:hAnsi="Calibri" w:eastAsia="Hiragino Sans GB"/>
      <w:b/>
      <w:color w:val="1D5FD1"/>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vibe-alpha-three.vercel.app/investor/panorama/2026-W29/" TargetMode="External"/><Relationship Id="rId12" Type="http://schemas.openxmlformats.org/officeDocument/2006/relationships/hyperlink" Target="https://vibe-alpha-three.vercel.app/investor/lanes/ai-compute-semiconductors/" TargetMode="External"/><Relationship Id="rId13" Type="http://schemas.openxmlformats.org/officeDocument/2006/relationships/hyperlink" Target="https://vibe-alpha-three.vercel.app/investor/lanes/oil-gas-and-geopolitical-inflation/" TargetMode="External"/><Relationship Id="rId14" Type="http://schemas.openxmlformats.org/officeDocument/2006/relationships/hyperlink" Target="https://vibe-alpha-three.vercel.app/investor/lanes/a-share-dividend-and-hard-tech-barbell/" TargetMode="External"/><Relationship Id="rId15" Type="http://schemas.openxmlformats.org/officeDocument/2006/relationships/hyperlink" Target="https://vibe-alpha-three.vercel.app/investor/lanes/mag7-ai-platform-re-layering/" TargetMode="External"/><Relationship Id="rId16" Type="http://schemas.openxmlformats.org/officeDocument/2006/relationships/hyperlink" Target="https://vibe-alpha-three.vercel.app/investor/lanes/ai-reflation-and-rate-sensitive-assets/" TargetMode="External"/><Relationship Id="rId17" Type="http://schemas.openxmlformats.org/officeDocument/2006/relationships/hyperlink" Target="https://vibe-alpha-three.vercel.app/investor/lanes/low-cost-models-and-ai-software-profit-pools/" TargetMode="External"/><Relationship Id="rId18" Type="http://schemas.openxmlformats.org/officeDocument/2006/relationships/hyperlink" Target="https://vibe-alpha-three.vercel.app/investor/reports/archive-220e9e773378/" TargetMode="External"/><Relationship Id="rId19" Type="http://schemas.openxmlformats.org/officeDocument/2006/relationships/hyperlink" Target="https://vibe-alpha-three.vercel.app/investor/reports/archive-5dd59c68eb47/" TargetMode="External"/><Relationship Id="rId20" Type="http://schemas.openxmlformats.org/officeDocument/2006/relationships/hyperlink" Target="https://vibe-alpha-three.vercel.app/investor/reports/archive-02297771d268/" TargetMode="External"/><Relationship Id="rId21" Type="http://schemas.openxmlformats.org/officeDocument/2006/relationships/hyperlink" Target="https://vibe-alpha-three.vercel.app/investor/theses/thesis-b976d8330e/" TargetMode="External"/><Relationship Id="rId22" Type="http://schemas.openxmlformats.org/officeDocument/2006/relationships/hyperlink" Target="https://vibe-alpha-three.vercel.app/investor/reports/archive-f2a629dc27cf/" TargetMode="External"/><Relationship Id="rId23" Type="http://schemas.openxmlformats.org/officeDocument/2006/relationships/hyperlink" Target="https://vibe-alpha-three.vercel.app/investor/reports/archive-f6de1aa04734/" TargetMode="External"/><Relationship Id="rId24" Type="http://schemas.openxmlformats.org/officeDocument/2006/relationships/hyperlink" Target="https://vibe-alpha-three.vercel.app/investor/reports/archive-337eb9ac25c8/" TargetMode="External"/><Relationship Id="rId25" Type="http://schemas.openxmlformats.org/officeDocument/2006/relationships/hyperlink" Target="https://vibe-alpha-three.vercel.app/investor/theses/thesis-d8170c3a35/" TargetMode="External"/><Relationship Id="rId26" Type="http://schemas.openxmlformats.org/officeDocument/2006/relationships/hyperlink" Target="https://vibe-alpha-three.vercel.app/investor/reports/archive-3020b9ab3b18/" TargetMode="External"/><Relationship Id="rId27" Type="http://schemas.openxmlformats.org/officeDocument/2006/relationships/hyperlink" Target="https://vibe-alpha-three.vercel.app/investor/reports/archive-8910b1565931/" TargetMode="External"/><Relationship Id="rId28" Type="http://schemas.openxmlformats.org/officeDocument/2006/relationships/hyperlink" Target="https://vibe-alpha-three.vercel.app/investor/reports/archive-edc00b81efe2/" TargetMode="External"/><Relationship Id="rId29" Type="http://schemas.openxmlformats.org/officeDocument/2006/relationships/hyperlink" Target="https://vibe-alpha-three.vercel.app/investor/theses/thesis-70daf87262/" TargetMode="External"/><Relationship Id="rId30" Type="http://schemas.openxmlformats.org/officeDocument/2006/relationships/hyperlink" Target="https://vibe-alpha-three.vercel.app/investor/theses/thesis-8c5a9690a0/" TargetMode="External"/><Relationship Id="rId31" Type="http://schemas.openxmlformats.org/officeDocument/2006/relationships/hyperlink" Target="https://vibe-alpha-three.vercel.app/investor/theses/thesis-075017003b/" TargetMode="External"/><Relationship Id="rId32" Type="http://schemas.openxmlformats.org/officeDocument/2006/relationships/hyperlink" Target="https://vibe-alpha-three.vercel.app/investor/reports/archive-b73180534438/" TargetMode="External"/><Relationship Id="rId33" Type="http://schemas.openxmlformats.org/officeDocument/2006/relationships/hyperlink" Target="https://vibe-alpha-three.vercel.app/investor/reports/archive-346a9dc6263c/" TargetMode="External"/><Relationship Id="rId34" Type="http://schemas.openxmlformats.org/officeDocument/2006/relationships/hyperlink" Target="https://vibe-alpha-three.vercel.app/investor/reports/archive-ec0ba624463e/" TargetMode="External"/><Relationship Id="rId35" Type="http://schemas.openxmlformats.org/officeDocument/2006/relationships/hyperlink" Target="https://vibe-alpha-three.vercel.app/investor/theses/thesis-ab1fb6a453/" TargetMode="External"/><Relationship Id="rId36" Type="http://schemas.openxmlformats.org/officeDocument/2006/relationships/hyperlink" Target="https://vibe-alpha-three.vercel.app/investor/stocks/600900.SH/" TargetMode="External"/><Relationship Id="rId37" Type="http://schemas.openxmlformats.org/officeDocument/2006/relationships/hyperlink" Target="https://vibe-alpha-three.vercel.app/investor/stocks/601088.SH/" TargetMode="External"/><Relationship Id="rId38" Type="http://schemas.openxmlformats.org/officeDocument/2006/relationships/hyperlink" Target="https://vibe-alpha-three.vercel.app/investor/stocks/601398.SH/" TargetMode="External"/><Relationship Id="rId39" Type="http://schemas.openxmlformats.org/officeDocument/2006/relationships/hyperlink" Target="https://vibe-alpha-three.vercel.app/investor/stocks/688981.SH/" TargetMode="External"/><Relationship Id="rId40" Type="http://schemas.openxmlformats.org/officeDocument/2006/relationships/hyperlink" Target="https://vibe-alpha-three.vercel.app/investor/stocks/588000.SH/" TargetMode="External"/><Relationship Id="rId41" Type="http://schemas.openxmlformats.org/officeDocument/2006/relationships/hyperlink" Target="https://vibe-alpha-three.vercel.app/investor/stocks/600941.SH/" TargetMode="External"/><Relationship Id="rId42" Type="http://schemas.openxmlformats.org/officeDocument/2006/relationships/hyperlink" Target="https://vibe-alpha-three.vercel.app/investor/stocks/META/" TargetMode="External"/><Relationship Id="rId43" Type="http://schemas.openxmlformats.org/officeDocument/2006/relationships/hyperlink" Target="https://vibe-alpha-three.vercel.app/investor/stocks/MSFT/" TargetMode="External"/><Relationship Id="rId44" Type="http://schemas.openxmlformats.org/officeDocument/2006/relationships/hyperlink" Target="https://vibe-alpha-three.vercel.app/investor/stocks/NVDA/" TargetMode="External"/><Relationship Id="rId45" Type="http://schemas.openxmlformats.org/officeDocument/2006/relationships/hyperlink" Target="https://vibe-alpha-three.vercel.app/investor/stocks/AMZN/" TargetMode="External"/><Relationship Id="rId46" Type="http://schemas.openxmlformats.org/officeDocument/2006/relationships/hyperlink" Target="https://vibe-alpha-three.vercel.app/investor/stocks/GOOGL/" TargetMode="External"/><Relationship Id="rId47" Type="http://schemas.openxmlformats.org/officeDocument/2006/relationships/hyperlink" Target="https://vibe-alpha-three.vercel.app/investor/stocks/TSM/" TargetMode="External"/><Relationship Id="rId48" Type="http://schemas.openxmlformats.org/officeDocument/2006/relationships/hyperlink" Target="https://vibe-alpha-three.vercel.app/investor/stocks/MU/" TargetMode="External"/><Relationship Id="rId49" Type="http://schemas.openxmlformats.org/officeDocument/2006/relationships/hyperlink" Target="https://vibe-alpha-three.vercel.app/investor/stocks/000660.KS/" TargetMode="External"/><Relationship Id="rId50" Type="http://schemas.openxmlformats.org/officeDocument/2006/relationships/hyperlink" Target="https://vibe-alpha-three.vercel.app/investor/stocks/AMD/" TargetMode="External"/><Relationship Id="rId51" Type="http://schemas.openxmlformats.org/officeDocument/2006/relationships/hyperlink" Target="https://vibe-alpha-three.vercel.app/investor/stocks/9922.HK/" TargetMode="External"/><Relationship Id="rId52" Type="http://schemas.openxmlformats.org/officeDocument/2006/relationships/hyperlink" Target="https://vibe-alpha-three.vercel.app/investor/stocks/001215.SZ/" TargetMode="External"/><Relationship Id="rId53" Type="http://schemas.openxmlformats.org/officeDocument/2006/relationships/hyperlink" Target="https://vibe-alpha-three.vercel.app/investor/stocks/3690.HK/" TargetMode="External"/><Relationship Id="rId54" Type="http://schemas.openxmlformats.org/officeDocument/2006/relationships/hyperlink" Target="https://vibe-alpha-three.vercel.app/investor/stocks/YUMC/" TargetMode="External"/><Relationship Id="rId55" Type="http://schemas.openxmlformats.org/officeDocument/2006/relationships/hyperlink" Target="https://vibe-alpha-three.vercel.app/investor/stocks/1179.HK/" TargetMode="External"/><Relationship Id="rId56" Type="http://schemas.openxmlformats.org/officeDocument/2006/relationships/hyperlink" Target="https://vibe-alpha-three.vercel.app/investor/stocks/0780.HK/" TargetMode="External"/><Relationship Id="rId57" Type="http://schemas.openxmlformats.org/officeDocument/2006/relationships/hyperlink" Target="https://vibe-alpha-three.vercel.app/investor/stocks/TLT/" TargetMode="External"/><Relationship Id="rId58" Type="http://schemas.openxmlformats.org/officeDocument/2006/relationships/hyperlink" Target="https://vibe-alpha-three.vercel.app/investor/stocks/XLU/" TargetMode="External"/><Relationship Id="rId59" Type="http://schemas.openxmlformats.org/officeDocument/2006/relationships/hyperlink" Target="https://vibe-alpha-three.vercel.app/investor/lanes/a-share-semiconductor-margin-and-negative-gamma/" TargetMode="External"/><Relationship Id="rId60" Type="http://schemas.openxmlformats.org/officeDocument/2006/relationships/hyperlink" Target="https://vibe-alpha-three.vercel.app/investor/lanes/a-share-risk-appetite-and-margin/" TargetMode="External"/><Relationship Id="rId61" Type="http://schemas.openxmlformats.org/officeDocument/2006/relationships/hyperlink" Target="https://vibe-alpha-three.vercel.app/investor/lanes/ai-power-and-grid-equipment/" TargetMode="External"/><Relationship Id="rId62" Type="http://schemas.openxmlformats.org/officeDocument/2006/relationships/hyperlink" Target="https://vibe-alpha-three.vercel.app/investor/lanes/advanced-packaging-and-hbm4-gate/" TargetMode="External"/><Relationship Id="rId63" Type="http://schemas.openxmlformats.org/officeDocument/2006/relationships/hyperlink" Target="https://vibe-alpha-three.vercel.app/investor/lanes/us-rates-and-dollar-repricing/" TargetMode="External"/><Relationship Id="rId64" Type="http://schemas.openxmlformats.org/officeDocument/2006/relationships/hyperlink" Target="https://vibe-alpha-three.vercel.app/investor/lanes/china-healthcare-and-overseas-innovation-drug-monetization/" TargetMode="External"/><Relationship Id="rId65" Type="http://schemas.openxmlformats.org/officeDocument/2006/relationships/hyperlink" Target="https://vibe-alpha-three.vercel.app/investor/lanes/a-share-hard-tech-and-star50/" TargetMode="External"/><Relationship Id="rId66" Type="http://schemas.openxmlformats.org/officeDocument/2006/relationships/hyperlink" Target="https://vibe-alpha-three.vercel.app/investor/lanes/food-processing-and-input-cost-transmission/" TargetMode="External"/><Relationship Id="rId67" Type="http://schemas.openxmlformats.org/officeDocument/2006/relationships/hyperlink" Target="https://vibe-alpha-three.vercel.app/investor/lanes/yen-carry-and-em-tech-liquidity/" TargetMode="External"/><Relationship Id="rId68" Type="http://schemas.openxmlformats.org/officeDocument/2006/relationships/hyperlink" Target="https://vibe-alpha-three.vercel.app/investor/lanes/utilities-grid-rate-base-and-credit/" TargetMode="External"/><Relationship Id="rId69" Type="http://schemas.openxmlformats.org/officeDocument/2006/relationships/hyperlink" Target="https://vibe-alpha-three.vercel.app/investor/reports/archive-3c31184bcf1b/" TargetMode="External"/><Relationship Id="rId70" Type="http://schemas.openxmlformats.org/officeDocument/2006/relationships/hyperlink" Target="https://vibe-alpha-three.vercel.app/investor/reports/archive-33bacab2066d/" TargetMode="External"/><Relationship Id="rId71" Type="http://schemas.openxmlformats.org/officeDocument/2006/relationships/hyperlink" Target="https://vibe-alpha-three.vercel.app/investor/reports/archive-cfd56fe808e5/" TargetMode="External"/><Relationship Id="rId72" Type="http://schemas.openxmlformats.org/officeDocument/2006/relationships/hyperlink" Target="https://vibe-alpha-three.vercel.app/investor/reports/archive-4cd480ba3495/" TargetMode="External"/><Relationship Id="rId73" Type="http://schemas.openxmlformats.org/officeDocument/2006/relationships/hyperlink" Target="https://vibe-alpha-three.vercel.app/investor/reports/archive-9e5d4b02dfd0/" TargetMode="External"/><Relationship Id="rId74" Type="http://schemas.openxmlformats.org/officeDocument/2006/relationships/hyperlink" Target="https://vibe-alpha-three.vercel.app/investor/reports/archive-e98c53a3c779/" TargetMode="External"/><Relationship Id="rId75" Type="http://schemas.openxmlformats.org/officeDocument/2006/relationships/hyperlink" Target="https://vibe-alpha-three.vercel.app/investor/reports/archive-36f7757cd961/" TargetMode="External"/><Relationship Id="rId76" Type="http://schemas.openxmlformats.org/officeDocument/2006/relationships/hyperlink" Target="https://vibe-alpha-three.vercel.app/investor/reports/archive-02b3962710cf/" TargetMode="External"/><Relationship Id="rId77" Type="http://schemas.openxmlformats.org/officeDocument/2006/relationships/hyperlink" Target="https://vibe-alpha-three.vercel.app/investor/reports/archive-cc07f13b6af5/" TargetMode="External"/><Relationship Id="rId78" Type="http://schemas.openxmlformats.org/officeDocument/2006/relationships/hyperlink" Target="https://vibe-alpha-three.vercel.app/investor/reports/archive-875dada5c5c0/" TargetMode="External"/><Relationship Id="rId79" Type="http://schemas.openxmlformats.org/officeDocument/2006/relationships/hyperlink" Target="https://vibe-alpha-three.vercel.app/investor/reports/archive-05921e2b63cb/" TargetMode="External"/><Relationship Id="rId80" Type="http://schemas.openxmlformats.org/officeDocument/2006/relationships/hyperlink" Target="https://vibe-alpha-three.vercel.app/investor/reports/archive-a51d3363133f/" TargetMode="External"/><Relationship Id="rId81" Type="http://schemas.openxmlformats.org/officeDocument/2006/relationships/hyperlink" Target="https://vibe-alpha-three.vercel.app/investor/reports/archive-3be2922ee7c8/" TargetMode="External"/><Relationship Id="rId82" Type="http://schemas.openxmlformats.org/officeDocument/2006/relationships/hyperlink" Target="https://vibe-alpha-three.vercel.app/investor/reports/archive-a66326b30a39/" TargetMode="External"/><Relationship Id="rId83" Type="http://schemas.openxmlformats.org/officeDocument/2006/relationships/hyperlink" Target="https://vibe-alpha-three.vercel.app/investor/reports/archive-f7938bd36e0d/" TargetMode="External"/><Relationship Id="rId84" Type="http://schemas.openxmlformats.org/officeDocument/2006/relationships/hyperlink" Target="https://vibe-alpha-three.vercel.app/investor/reports/archive-e6c8e28134c6/" TargetMode="External"/><Relationship Id="rId85" Type="http://schemas.openxmlformats.org/officeDocument/2006/relationships/hyperlink" Target="https://vibe-alpha-three.vercel.app/investor/reports/reader-daily-reader-2026-07-19/" TargetMode="External"/><Relationship Id="rId86" Type="http://schemas.openxmlformats.org/officeDocument/2006/relationships/hyperlink" Target="https://vibe-alpha-three.vercel.app/investor/reports/archive-a92be53b9c84/" TargetMode="External"/><Relationship Id="rId87" Type="http://schemas.openxmlformats.org/officeDocument/2006/relationships/hyperlink" Target="https://vibe-alpha-three.vercel.app/investor/reports/archive-dd7a4fcb7d69/" TargetMode="External"/><Relationship Id="rId88" Type="http://schemas.openxmlformats.org/officeDocument/2006/relationships/hyperlink" Target="https://vibe-alpha-three.vercel.app/investor/reports/archive-66629164e7fc/" TargetMode="External"/><Relationship Id="rId89" Type="http://schemas.openxmlformats.org/officeDocument/2006/relationships/hyperlink" Target="https://vibe-alpha-three.vercel.app/investor/reports/archive-55020478d9b3/" TargetMode="External"/><Relationship Id="rId90" Type="http://schemas.openxmlformats.org/officeDocument/2006/relationships/hyperlink" Target="https://vibe-alpha-three.vercel.app/investor/reports/archive-c3d3e4594bb2/" TargetMode="External"/><Relationship Id="rId91" Type="http://schemas.openxmlformats.org/officeDocument/2006/relationships/hyperlink" Target="https://vibe-alpha-three.vercel.app/investor/reports/archive-bbee1efdced8/" TargetMode="External"/><Relationship Id="rId92" Type="http://schemas.openxmlformats.org/officeDocument/2006/relationships/hyperlink" Target="https://vibe-alpha-three.vercel.app/investor/reports/archive-f46089c12c59/" TargetMode="External"/><Relationship Id="rId93" Type="http://schemas.openxmlformats.org/officeDocument/2006/relationships/hyperlink" Target="https://vibe-alpha-three.vercel.app/investor/reports/archive-cec767ba68c7/" TargetMode="External"/><Relationship Id="rId94" Type="http://schemas.openxmlformats.org/officeDocument/2006/relationships/hyperlink" Target="https://vibe-alpha-three.vercel.app/investor/reports/archive-637ee06b6334/" TargetMode="External"/><Relationship Id="rId95" Type="http://schemas.openxmlformats.org/officeDocument/2006/relationships/hyperlink" Target="https://vibe-alpha-three.vercel.app/investor/reports/archive-64f6a257d7b3/" TargetMode="External"/><Relationship Id="rId96" Type="http://schemas.openxmlformats.org/officeDocument/2006/relationships/hyperlink" Target="https://vibe-alpha-three.vercel.app/investor/reports/archive-268382342509/" TargetMode="External"/><Relationship Id="rId97" Type="http://schemas.openxmlformats.org/officeDocument/2006/relationships/hyperlink" Target="https://vibe-alpha-three.vercel.app/investor/reports/archive-fab2384bc7fd/" TargetMode="External"/><Relationship Id="rId98" Type="http://schemas.openxmlformats.org/officeDocument/2006/relationships/hyperlink" Target="https://vibe-alpha-three.vercel.app/investor/reports/archive-c4b2927bee1e/" TargetMode="External"/><Relationship Id="rId99" Type="http://schemas.openxmlformats.org/officeDocument/2006/relationships/hyperlink" Target="https://vibe-alpha-three.vercel.app/investor/reports/archive-5320da0f6118/" TargetMode="External"/><Relationship Id="rId100" Type="http://schemas.openxmlformats.org/officeDocument/2006/relationships/hyperlink" Target="https://vibe-alpha-three.vercel.app/investor/reports/archive-29627640e1a7/" TargetMode="External"/><Relationship Id="rId101" Type="http://schemas.openxmlformats.org/officeDocument/2006/relationships/hyperlink" Target="https://vibe-alpha-three.vercel.app/investor/reports/archive-d6afdb7c1821/" TargetMode="External"/><Relationship Id="rId102" Type="http://schemas.openxmlformats.org/officeDocument/2006/relationships/hyperlink" Target="https://vibe-alpha-three.vercel.app/investor/reports/archive-4dc6c3abc562/" TargetMode="External"/><Relationship Id="rId103" Type="http://schemas.openxmlformats.org/officeDocument/2006/relationships/hyperlink" Target="https://vibe-alpha-three.vercel.app/investor/reports/archive-cbc2311a4a28/" TargetMode="External"/><Relationship Id="rId104" Type="http://schemas.openxmlformats.org/officeDocument/2006/relationships/hyperlink" Target="https://vibe-alpha-three.vercel.app/investor/reports/archive-84737ae30ce8/" TargetMode="External"/><Relationship Id="rId105" Type="http://schemas.openxmlformats.org/officeDocument/2006/relationships/hyperlink" Target="https://vibe-alpha-three.vercel.app/investor/reports/archive-277821f7831b/" TargetMode="External"/><Relationship Id="rId106" Type="http://schemas.openxmlformats.org/officeDocument/2006/relationships/hyperlink" Target="https://vibe-alpha-three.vercel.app/investor/reports/archive-93cee5f1552a/" TargetMode="External"/><Relationship Id="rId107" Type="http://schemas.openxmlformats.org/officeDocument/2006/relationships/hyperlink" Target="https://vibe-alpha-three.vercel.app/investor/reports/archive-6f981a2ff916/" TargetMode="External"/><Relationship Id="rId108" Type="http://schemas.openxmlformats.org/officeDocument/2006/relationships/hyperlink" Target="https://vibe-alpha-three.vercel.app/investor/reports/archive-a43e97077aab/" TargetMode="External"/><Relationship Id="rId109" Type="http://schemas.openxmlformats.org/officeDocument/2006/relationships/hyperlink" Target="https://vibe-alpha-three.vercel.app/investor/reports/archive-90e698259d43/" TargetMode="External"/><Relationship Id="rId110" Type="http://schemas.openxmlformats.org/officeDocument/2006/relationships/hyperlink" Target="https://vibe-alpha-three.vercel.app/investor/reports/archive-089aafadd25b/" TargetMode="External"/><Relationship Id="rId111" Type="http://schemas.openxmlformats.org/officeDocument/2006/relationships/hyperlink" Target="https://vibe-alpha-three.vercel.app/investor/reports/archive-abe17da5f862/" TargetMode="External"/><Relationship Id="rId112" Type="http://schemas.openxmlformats.org/officeDocument/2006/relationships/hyperlink" Target="https://vibe-alpha-three.vercel.app/investor/reports/archive-0e03cb93bc80/" TargetMode="External"/><Relationship Id="rId113" Type="http://schemas.openxmlformats.org/officeDocument/2006/relationships/hyperlink" Target="https://vibe-alpha-three.vercel.app/investor/reports/archive-2f3a1a6c2bcd/" TargetMode="External"/><Relationship Id="rId114" Type="http://schemas.openxmlformats.org/officeDocument/2006/relationships/hyperlink" Target="https://vibe-alpha-three.vercel.app/investor/reports/archive-1e9f3da9f615/" TargetMode="External"/><Relationship Id="rId115" Type="http://schemas.openxmlformats.org/officeDocument/2006/relationships/hyperlink" Target="https://vibe-alpha-three.vercel.app/investor/reports/archive-60358d94971c/" TargetMode="External"/><Relationship Id="rId116" Type="http://schemas.openxmlformats.org/officeDocument/2006/relationships/hyperlink" Target="https://vibe-alpha-three.vercel.app/investor/reports/archive-2cb152fe3cf3/" TargetMode="External"/><Relationship Id="rId117" Type="http://schemas.openxmlformats.org/officeDocument/2006/relationships/hyperlink" Target="https://vibe-alpha-three.vercel.app/investor/reports/archive-8ed2751dfd21/" TargetMode="External"/><Relationship Id="rId118" Type="http://schemas.openxmlformats.org/officeDocument/2006/relationships/hyperlink" Target="https://vibe-alpha-three.vercel.app/investor/reports/archive-fd2388e9cc4b/" TargetMode="External"/><Relationship Id="rId119" Type="http://schemas.openxmlformats.org/officeDocument/2006/relationships/hyperlink" Target="https://vibe-alpha-three.vercel.app/investor/reports/archive-5fd507219068/" TargetMode="External"/><Relationship Id="rId120" Type="http://schemas.openxmlformats.org/officeDocument/2006/relationships/hyperlink" Target="https://vibe-alpha-three.vercel.app/investor/reports/archive-722385f2ad51/" TargetMode="External"/><Relationship Id="rId121" Type="http://schemas.openxmlformats.org/officeDocument/2006/relationships/hyperlink" Target="https://vibe-alpha-three.vercel.app/investor/reports/archive-18a551b14381/" TargetMode="External"/><Relationship Id="rId122" Type="http://schemas.openxmlformats.org/officeDocument/2006/relationships/hyperlink" Target="https://vibe-alpha-three.vercel.app/investor/reports/archive-9560dd2eba78/" TargetMode="External"/><Relationship Id="rId123" Type="http://schemas.openxmlformats.org/officeDocument/2006/relationships/hyperlink" Target="https://vibe-alpha-three.vercel.app/investor/reports/archive-f00206cddbd8/" TargetMode="External"/><Relationship Id="rId124" Type="http://schemas.openxmlformats.org/officeDocument/2006/relationships/hyperlink" Target="https://vibe-alpha-three.vercel.app/investor/reports/archive-772713a0cbeb/" TargetMode="External"/><Relationship Id="rId125" Type="http://schemas.openxmlformats.org/officeDocument/2006/relationships/hyperlink" Target="https://vibe-alpha-three.vercel.app/investor/reports/archive-f118a3b8e18c/" TargetMode="External"/><Relationship Id="rId126" Type="http://schemas.openxmlformats.org/officeDocument/2006/relationships/hyperlink" Target="https://vibe-alpha-three.vercel.app/investor/reports/archive-07769d5c12f8/" TargetMode="External"/><Relationship Id="rId127" Type="http://schemas.openxmlformats.org/officeDocument/2006/relationships/hyperlink" Target="https://vibe-alpha-three.vercel.app/investor/reports/archive-b99afaef3af4/" TargetMode="External"/><Relationship Id="rId128" Type="http://schemas.openxmlformats.org/officeDocument/2006/relationships/hyperlink" Target="https://vibe-alpha-three.vercel.app/investor/reports/archive-49a6ac96916e/" TargetMode="External"/><Relationship Id="rId129" Type="http://schemas.openxmlformats.org/officeDocument/2006/relationships/hyperlink" Target="https://vibe-alpha-three.vercel.app/investor/reports/archive-5c1bc690cce7/" TargetMode="External"/><Relationship Id="rId130" Type="http://schemas.openxmlformats.org/officeDocument/2006/relationships/hyperlink" Target="https://vibe-alpha-three.vercel.app/investor/reports/archive-3389392c8e17/" TargetMode="External"/><Relationship Id="rId131" Type="http://schemas.openxmlformats.org/officeDocument/2006/relationships/hyperlink" Target="https://vibe-alpha-three.vercel.app/investor/reports/archive-ec7a29a7a30c/" TargetMode="External"/><Relationship Id="rId132" Type="http://schemas.openxmlformats.org/officeDocument/2006/relationships/hyperlink" Target="https://vibe-alpha-three.vercel.app/investor/reports/archive-943c24f7b63a/" TargetMode="External"/><Relationship Id="rId133" Type="http://schemas.openxmlformats.org/officeDocument/2006/relationships/hyperlink" Target="https://vibe-alpha-three.vercel.app/investor/reports/archive-908dfeb86679/" TargetMode="External"/><Relationship Id="rId134" Type="http://schemas.openxmlformats.org/officeDocument/2006/relationships/hyperlink" Target="https://vibe-alpha-three.vercel.app/investor/reports/archive-8c99e8f369d7/" TargetMode="External"/><Relationship Id="rId135" Type="http://schemas.openxmlformats.org/officeDocument/2006/relationships/hyperlink" Target="https://vibe-alpha-three.vercel.app/investor/reports/archive-f391baebe2cc/" TargetMode="External"/><Relationship Id="rId136" Type="http://schemas.openxmlformats.org/officeDocument/2006/relationships/hyperlink" Target="https://vibe-alpha-three.vercel.app/investor/reports/archive-679d98446c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2026-W29 AI Institute 周度投资研究全景</dc:title>
  <dc:subject>AI Institute weekly research report 2026-W29</dc:subject>
  <dc:creator>AI Institute</dc:creator>
  <cp:keywords>AI Institute, weekly research, investment research</cp:keywords>
  <dc:description>generated by python-docx</dc:description>
  <cp:lastModifiedBy/>
  <cp:revision>1</cp:revision>
  <dcterms:created xsi:type="dcterms:W3CDTF">2013-12-23T23:15:00Z</dcterms:created>
  <dcterms:modified xsi:type="dcterms:W3CDTF">2013-12-23T23:15:00Z</dcterms:modified>
  <cp:category/>
</cp:coreProperties>
</file>