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eiti TC"/>
          <w:b/>
          <w:i w:val="0"/>
          <w:color w:val="285B9D"/>
          <w:sz w:val="20"/>
        </w:rPr>
        <w:t>AI Institute</w:t>
      </w:r>
    </w:p>
    <w:p>
      <w:pPr>
        <w:pStyle w:val="Title"/>
        <w:spacing w:before="0" w:after="80" w:line="264" w:lineRule="auto"/>
      </w:pPr>
      <w:r>
        <w:rPr>
          <w:rFonts w:ascii="Calibri" w:hAnsi="Calibri" w:eastAsia="Heiti TC"/>
          <w:b w:val="0"/>
          <w:i w:val="0"/>
        </w:rPr>
        <w:t>每日投资研究简报</w:t>
      </w:r>
    </w:p>
    <w:p>
      <w:pPr>
        <w:pStyle w:val="Subtitle"/>
        <w:spacing w:before="0" w:after="240" w:line="264" w:lineRule="auto"/>
      </w:pPr>
      <w:r>
        <w:rPr>
          <w:rFonts w:ascii="Calibri" w:hAnsi="Calibri" w:eastAsia="Heiti TC"/>
          <w:b w:val="0"/>
          <w:i w:val="0"/>
        </w:rPr>
        <w:t>2026-07-03 · webpage screenshot DOCX edition</w:t>
      </w:r>
    </w:p>
    <w:p>
      <w:pPr>
        <w:spacing w:before="0" w:after="160" w:line="264" w:lineRule="auto"/>
      </w:pPr>
      <w:r>
        <w:rPr>
          <w:rFonts w:ascii="Calibri" w:hAnsi="Calibri" w:eastAsia="Heiti TC"/>
          <w:b/>
          <w:i w:val="0"/>
          <w:color w:val="0B2545"/>
          <w:sz w:val="34"/>
        </w:rPr>
        <w:t>宏观通胀传导仍是今日主线，AI 基础设施提供第二层验证。</w:t>
      </w:r>
    </w:p>
    <w:p>
      <w:pPr>
        <w:spacing w:before="0" w:after="240" w:line="264" w:lineRule="auto"/>
      </w:pPr>
      <w:r>
        <w:rPr>
          <w:rFonts w:ascii="Calibri" w:hAnsi="Calibri" w:eastAsia="Heiti TC"/>
          <w:b w:val="0"/>
          <w:i w:val="0"/>
          <w:color w:val="334155"/>
          <w:sz w:val="22"/>
        </w:rPr>
        <w:t>2026-07-03 共纳入 109 篇中文研究结果，覆盖 15 位活跃分析师和 6 条主要行业链，较 2026-07-02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eiti TC"/>
                <w:b/>
                <w:color w:val="667085"/>
                <w:sz w:val="17"/>
              </w:rPr>
              <w:t>今日报告</w:t>
              <w:br/>
            </w:r>
            <w:r>
              <w:rPr>
                <w:rFonts w:ascii="Calibri" w:hAnsi="Calibri" w:eastAsia="Heiti TC"/>
                <w:b/>
                <w:color w:val="285B9D"/>
                <w:sz w:val="36"/>
              </w:rPr>
              <w:t>109</w:t>
            </w:r>
          </w:p>
        </w:tc>
        <w:tc>
          <w:tcPr>
            <w:tcW w:type="dxa" w:w="2340"/>
            <w:vAlign w:val="center"/>
            <w:shd w:fill="F8FAFC"/>
          </w:tcPr>
          <w:p>
            <w:pPr>
              <w:spacing w:after="40"/>
            </w:pPr>
            <w:r>
              <w:rPr>
                <w:rFonts w:ascii="Calibri" w:hAnsi="Calibri" w:eastAsia="Heiti TC"/>
                <w:b/>
                <w:color w:val="667085"/>
                <w:sz w:val="17"/>
              </w:rPr>
              <w:t>活跃分析师</w:t>
              <w:br/>
            </w:r>
            <w:r>
              <w:rPr>
                <w:rFonts w:ascii="Calibri" w:hAnsi="Calibri" w:eastAsia="Heiti TC"/>
                <w:b/>
                <w:color w:val="237A5B"/>
                <w:sz w:val="36"/>
              </w:rPr>
              <w:t>15</w:t>
            </w:r>
          </w:p>
        </w:tc>
        <w:tc>
          <w:tcPr>
            <w:tcW w:type="dxa" w:w="2340"/>
            <w:vAlign w:val="center"/>
            <w:shd w:fill="F8FAFC"/>
          </w:tcPr>
          <w:p>
            <w:pPr>
              <w:spacing w:after="40"/>
            </w:pPr>
            <w:r>
              <w:rPr>
                <w:rFonts w:ascii="Calibri" w:hAnsi="Calibri" w:eastAsia="Heiti TC"/>
                <w:b/>
                <w:color w:val="667085"/>
                <w:sz w:val="17"/>
              </w:rPr>
              <w:t>活跃链条</w:t>
              <w:br/>
            </w:r>
            <w:r>
              <w:rPr>
                <w:rFonts w:ascii="Calibri" w:hAnsi="Calibri" w:eastAsia="Heiti TC"/>
                <w:b/>
                <w:color w:val="A8731B"/>
                <w:sz w:val="36"/>
              </w:rPr>
              <w:t>6</w:t>
            </w:r>
          </w:p>
        </w:tc>
        <w:tc>
          <w:tcPr>
            <w:tcW w:type="dxa" w:w="2340"/>
            <w:vAlign w:val="center"/>
            <w:shd w:fill="F8FAFC"/>
          </w:tcPr>
          <w:p>
            <w:pPr>
              <w:spacing w:after="40"/>
            </w:pPr>
            <w:r>
              <w:rPr>
                <w:rFonts w:ascii="Calibri" w:hAnsi="Calibri" w:eastAsia="Heiti TC"/>
                <w:b/>
                <w:color w:val="667085"/>
                <w:sz w:val="17"/>
              </w:rPr>
              <w:t>风险信号</w:t>
              <w:br/>
            </w:r>
            <w:r>
              <w:rPr>
                <w:rFonts w:ascii="Calibri" w:hAnsi="Calibri" w:eastAsia="Heiti T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7-03-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eiti TC"/>
          <w:b/>
          <w:color w:val="285B9D"/>
          <w:sz w:val="21"/>
        </w:rPr>
        <w:t xml:space="preserve">主线判断: </w:t>
      </w:r>
      <w:hyperlink r:id="rId12">
        <w:r>
          <w:rPr>
            <w:color w:val="285B9D"/>
            <w:u w:val="single"/>
            <w:rFonts w:eastAsia="Heiti TC" w:ascii="Calibri" w:hAnsi="Calibri"/>
          </w:rPr>
          <w:t>半导体设备良率瓶颈与电力并网约束对国内AI算力集群的连锁影响压力测试报告 是今日最高权重结论，核心证据来自 未识别，关联 AI 基础设施。</w:t>
        </w:r>
      </w:hyperlink>
    </w:p>
    <w:p>
      <w:pPr>
        <w:spacing w:after="140"/>
        <w:ind w:left="259" w:hanging="259"/>
      </w:pPr>
      <w:r>
        <w:rPr>
          <w:rFonts w:ascii="Calibri" w:hAnsi="Calibri" w:eastAsia="Heiti TC"/>
          <w:b/>
          <w:color w:val="285B9D"/>
          <w:sz w:val="21"/>
        </w:rPr>
        <w:t xml:space="preserve">变化信号: </w:t>
      </w:r>
      <w:r>
        <w:rPr>
          <w:rFonts w:ascii="Calibri" w:hAnsi="Calibri" w:eastAsia="Heiti TC"/>
          <w:color w:val="111827"/>
          <w:sz w:val="21"/>
        </w:rPr>
        <w:t>风险 今日 降温，当日计数 52，前一日计数 108。</w:t>
      </w:r>
    </w:p>
    <w:p>
      <w:pPr>
        <w:spacing w:after="140"/>
        <w:ind w:left="259" w:hanging="259"/>
      </w:pPr>
      <w:r>
        <w:rPr>
          <w:rFonts w:ascii="Calibri" w:hAnsi="Calibri" w:eastAsia="Heiti TC"/>
          <w:b/>
          <w:color w:val="285B9D"/>
          <w:sz w:val="21"/>
        </w:rPr>
        <w:t xml:space="preserve">风险焦点: </w:t>
      </w:r>
      <w:hyperlink r:id="rId13">
        <w:r>
          <w:rPr>
            <w:color w:val="285B9D"/>
            <w:u w:val="single"/>
            <w:rFonts w:eastAsia="Heiti TC" w:ascii="Calibri" w:hAnsi="Calibri"/>
          </w:rPr>
          <w:t>风险矩阵最需要跟踪的是 工业供给瓶颈：研究门户共享研究会话（前序研究）— 2026-07-02。</w:t>
        </w:r>
      </w:hyperlink>
    </w:p>
    <w:p>
      <w:pPr>
        <w:spacing w:after="140"/>
        <w:ind w:left="259" w:hanging="259"/>
      </w:pPr>
      <w:r>
        <w:rPr>
          <w:rFonts w:ascii="Calibri" w:hAnsi="Calibri" w:eastAsia="Heiti TC"/>
          <w:b/>
          <w:color w:val="285B9D"/>
          <w:sz w:val="21"/>
        </w:rPr>
        <w:t xml:space="preserve">证据密度: </w:t>
      </w:r>
      <w:hyperlink r:id="rId14">
        <w:r>
          <w:rPr>
            <w:color w:val="285B9D"/>
            <w:u w:val="single"/>
            <w:rFonts w:eastAsia="Heiti TC" w:ascii="Calibri" w:hAnsi="Calibri"/>
          </w:rPr>
          <w:t>宏观通胀传导 今日 106 条、近七日 1122 条，风险信号 869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eiti TC"/>
                <w:b/>
                <w:color w:val="7A5A00"/>
                <w:sz w:val="21"/>
              </w:rPr>
              <w:t xml:space="preserve">投资解读: </w:t>
            </w:r>
            <w:r>
              <w:rPr>
                <w:rFonts w:ascii="Calibri" w:hAnsi="Calibri" w:eastAsia="Heiti T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7-03-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7-03-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7-03-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7-03-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eiti TC"/>
          <w:b/>
          <w:i w:val="0"/>
          <w:color w:val="0B2545"/>
          <w:sz w:val="23"/>
        </w:rPr>
        <w:t>1. 半导体设备良率瓶颈与电力并网约束对国内AI算力集群的连锁影响压力测试报告</w:t>
      </w:r>
    </w:p>
    <w:p>
      <w:pPr>
        <w:spacing w:before="0" w:after="40" w:line="264" w:lineRule="auto"/>
      </w:pPr>
      <w:r>
        <w:rPr>
          <w:rFonts w:ascii="Calibri" w:hAnsi="Calibri" w:eastAsia="Heiti TC"/>
          <w:b w:val="0"/>
          <w:i w:val="0"/>
          <w:color w:val="667085"/>
          <w:sz w:val="17"/>
        </w:rPr>
        <w:t>未识别 · AI 基础设施 · score 55.5</w:t>
      </w:r>
    </w:p>
    <w:p>
      <w:pPr>
        <w:spacing w:before="0" w:after="100" w:line="264" w:lineRule="auto"/>
      </w:pPr>
      <w:r>
        <w:rPr>
          <w:rFonts w:ascii="Calibri" w:hAnsi="Calibri" w:eastAsia="Heiti TC"/>
          <w:b w:val="0"/>
          <w:i w:val="0"/>
          <w:color w:val="334155"/>
          <w:sz w:val="20"/>
        </w:rPr>
        <w:t>半导体设备良率瓶颈与电力并网约束对国内AI算力集群的连锁影响压力测试报告</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reports/archive-65ebca13e14f</w:t>
        </w:r>
      </w:hyperlink>
    </w:p>
    <w:p>
      <w:pPr>
        <w:spacing w:before="0" w:after="40" w:line="264" w:lineRule="auto"/>
      </w:pPr>
      <w:r>
        <w:rPr>
          <w:rFonts w:ascii="Calibri" w:hAnsi="Calibri" w:eastAsia="Heiti TC"/>
          <w:b/>
          <w:i w:val="0"/>
          <w:color w:val="0B2545"/>
          <w:sz w:val="23"/>
        </w:rPr>
        <w:t>2. AI基础设施专题研究报告：算力园区并网排队与变压器产能锁定核验</w:t>
      </w:r>
    </w:p>
    <w:p>
      <w:pPr>
        <w:spacing w:before="0" w:after="40" w:line="264" w:lineRule="auto"/>
      </w:pPr>
      <w:r>
        <w:rPr>
          <w:rFonts w:ascii="Calibri" w:hAnsi="Calibri" w:eastAsia="Heiti TC"/>
          <w:b w:val="0"/>
          <w:i w:val="0"/>
          <w:color w:val="667085"/>
          <w:sz w:val="17"/>
        </w:rPr>
        <w:t>未识别 · 工业供给瓶颈 · score 55.2</w:t>
      </w:r>
    </w:p>
    <w:p>
      <w:pPr>
        <w:spacing w:before="0" w:after="100" w:line="264" w:lineRule="auto"/>
      </w:pPr>
      <w:r>
        <w:rPr>
          <w:rFonts w:ascii="Calibri" w:hAnsi="Calibri" w:eastAsia="Heiti TC"/>
          <w:b w:val="0"/>
          <w:i w:val="0"/>
          <w:color w:val="334155"/>
          <w:sz w:val="20"/>
        </w:rPr>
        <w:t>报告日期： 2026-07-03 分析师： AI Infrastructure Analyst (AI基础设施分析师) 本报告立场： 支持 (Support — 基于材料行业分析师在 research note 中的材料约束判断进行深度扩充) 主题： 核...</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reports/archive-12a03d975eb0</w:t>
        </w:r>
      </w:hyperlink>
    </w:p>
    <w:p>
      <w:pPr>
        <w:spacing w:before="0" w:after="40" w:line="264" w:lineRule="auto"/>
      </w:pPr>
      <w:r>
        <w:rPr>
          <w:rFonts w:ascii="Calibri" w:hAnsi="Calibri" w:eastAsia="Heiti TC"/>
          <w:b/>
          <w:i w:val="0"/>
          <w:color w:val="0B2545"/>
          <w:sz w:val="23"/>
        </w:rPr>
        <w:t>3. 电力封顶下的国产AI芯片与先进封装稀缺定价地图（2026-07-03）</w:t>
      </w:r>
    </w:p>
    <w:p>
      <w:pPr>
        <w:spacing w:before="0" w:after="40" w:line="264" w:lineRule="auto"/>
      </w:pPr>
      <w:r>
        <w:rPr>
          <w:rFonts w:ascii="Calibri" w:hAnsi="Calibri" w:eastAsia="Heiti TC"/>
          <w:b w:val="0"/>
          <w:i w:val="0"/>
          <w:color w:val="667085"/>
          <w:sz w:val="17"/>
        </w:rPr>
        <w:t>未识别 · 半导体与存储 · score 53.9</w:t>
      </w:r>
    </w:p>
    <w:p>
      <w:pPr>
        <w:spacing w:before="0" w:after="100" w:line="264" w:lineRule="auto"/>
      </w:pPr>
      <w:r>
        <w:rPr>
          <w:rFonts w:ascii="Calibri" w:hAnsi="Calibri" w:eastAsia="Heiti TC"/>
          <w:b w:val="0"/>
          <w:i w:val="0"/>
          <w:color w:val="334155"/>
          <w:sz w:val="20"/>
        </w:rPr>
        <w:t>权威日期：2026-07-03 角色：半导体分析师 立场：stress-test 主题：项目级电力封顶下的国产AI芯片、HBM相关先进封装材料、载板、液冷与供电材料</w:t>
      </w:r>
    </w:p>
    <w:p>
      <w:pPr>
        <w:spacing w:before="0" w:after="160" w:line="264" w:lineRule="auto"/>
      </w:pPr>
      <w:r>
        <w:rPr>
          <w:rFonts w:ascii="Calibri" w:hAnsi="Calibri" w:eastAsia="Heiti TC"/>
          <w:b w:val="0"/>
          <w:i w:val="0"/>
          <w:color w:val="667085"/>
          <w:sz w:val="17"/>
        </w:rPr>
        <w:t xml:space="preserve">Report: </w:t>
      </w:r>
      <w:hyperlink r:id="rId20">
        <w:r>
          <w:rPr>
            <w:color w:val="285B9D"/>
            <w:u w:val="single"/>
            <w:rFonts w:eastAsia="Heiti TC" w:ascii="Calibri" w:hAnsi="Calibri"/>
          </w:rPr>
          <w:t>reports/archive-59fbf7775ce8</w:t>
        </w:r>
      </w:hyperlink>
    </w:p>
    <w:p>
      <w:pPr>
        <w:spacing w:before="0" w:after="40" w:line="264" w:lineRule="auto"/>
      </w:pPr>
      <w:r>
        <w:rPr>
          <w:rFonts w:ascii="Calibri" w:hAnsi="Calibri" w:eastAsia="Heiti TC"/>
          <w:b/>
          <w:i w:val="0"/>
          <w:color w:val="0B2545"/>
          <w:sz w:val="23"/>
        </w:rPr>
        <w:t>4. 智算中心：2026-07-03 的近端约束是电力交付，不是芯片订单</w:t>
      </w:r>
    </w:p>
    <w:p>
      <w:pPr>
        <w:spacing w:before="0" w:after="40" w:line="264" w:lineRule="auto"/>
      </w:pPr>
      <w:r>
        <w:rPr>
          <w:rFonts w:ascii="Calibri" w:hAnsi="Calibri" w:eastAsia="Heiti TC"/>
          <w:b w:val="0"/>
          <w:i w:val="0"/>
          <w:color w:val="667085"/>
          <w:sz w:val="17"/>
        </w:rPr>
        <w:t>未识别 · AI 基础设施 · score 52.6</w:t>
      </w:r>
    </w:p>
    <w:p>
      <w:pPr>
        <w:spacing w:before="0" w:after="100" w:line="264" w:lineRule="auto"/>
      </w:pPr>
      <w:r>
        <w:rPr>
          <w:rFonts w:ascii="Calibri" w:hAnsi="Calibri" w:eastAsia="Heiti TC"/>
          <w:b w:val="0"/>
          <w:i w:val="0"/>
          <w:color w:val="334155"/>
          <w:sz w:val="20"/>
        </w:rPr>
        <w:t>权威日期：2026-07-03 角色：AI基础设施分析师 立场：支持，但修正一个数据口径 主题：智算中心物理电网约束与国产算力扩容瓶颈</w:t>
      </w:r>
    </w:p>
    <w:p>
      <w:pPr>
        <w:spacing w:before="0" w:after="160" w:line="264" w:lineRule="auto"/>
      </w:pPr>
      <w:r>
        <w:rPr>
          <w:rFonts w:ascii="Calibri" w:hAnsi="Calibri" w:eastAsia="Heiti TC"/>
          <w:b w:val="0"/>
          <w:i w:val="0"/>
          <w:color w:val="667085"/>
          <w:sz w:val="17"/>
        </w:rPr>
        <w:t xml:space="preserve">Report: </w:t>
      </w:r>
      <w:hyperlink r:id="rId21">
        <w:r>
          <w:rPr>
            <w:color w:val="285B9D"/>
            <w:u w:val="single"/>
            <w:rFonts w:eastAsia="Heiti TC" w:ascii="Calibri" w:hAnsi="Calibri"/>
          </w:rPr>
          <w:t>reports/archive-2b7f126fd384</w:t>
        </w:r>
      </w:hyperlink>
    </w:p>
    <w:p>
      <w:pPr>
        <w:spacing w:before="0" w:after="40" w:line="264" w:lineRule="auto"/>
      </w:pPr>
      <w:r>
        <w:rPr>
          <w:rFonts w:ascii="Calibri" w:hAnsi="Calibri" w:eastAsia="Heiti TC"/>
          <w:b/>
          <w:i w:val="0"/>
          <w:color w:val="0B2545"/>
          <w:sz w:val="23"/>
        </w:rPr>
        <w:t>5. 半导体设备国产化对卫星制造产能瓶颈的缓解作用及产业链增量评估</w:t>
      </w:r>
    </w:p>
    <w:p>
      <w:pPr>
        <w:spacing w:before="0" w:after="40" w:line="264" w:lineRule="auto"/>
      </w:pPr>
      <w:r>
        <w:rPr>
          <w:rFonts w:ascii="Calibri" w:hAnsi="Calibri" w:eastAsia="Heiti TC"/>
          <w:b w:val="0"/>
          <w:i w:val="0"/>
          <w:color w:val="667085"/>
          <w:sz w:val="17"/>
        </w:rPr>
        <w:t>未识别 · 工业供给瓶颈 · score 48.3</w:t>
      </w:r>
    </w:p>
    <w:p>
      <w:pPr>
        <w:spacing w:before="0" w:after="100" w:line="264" w:lineRule="auto"/>
      </w:pPr>
      <w:r>
        <w:rPr>
          <w:rFonts w:ascii="Calibri" w:hAnsi="Calibri" w:eastAsia="Heiti TC"/>
          <w:b w:val="0"/>
          <w:i w:val="0"/>
          <w:color w:val="334155"/>
          <w:sz w:val="20"/>
        </w:rPr>
        <w:t>研究报告日期：2026-07-03 研究会话 ID：e861edc9-31a1-40aa-8a94-922957711b90 研究记录 分析师角色：TMT行业分析师 (TMT Analyst - agy) 本期立场：支持 (Support) — 支持前序研究关于星座部...</w:t>
      </w:r>
    </w:p>
    <w:p>
      <w:pPr>
        <w:spacing w:before="0" w:after="160" w:line="264" w:lineRule="auto"/>
      </w:pPr>
      <w:r>
        <w:rPr>
          <w:rFonts w:ascii="Calibri" w:hAnsi="Calibri" w:eastAsia="Heiti TC"/>
          <w:b w:val="0"/>
          <w:i w:val="0"/>
          <w:color w:val="667085"/>
          <w:sz w:val="17"/>
        </w:rPr>
        <w:t xml:space="preserve">Report: </w:t>
      </w:r>
      <w:hyperlink r:id="rId22">
        <w:r>
          <w:rPr>
            <w:color w:val="285B9D"/>
            <w:u w:val="single"/>
            <w:rFonts w:eastAsia="Heiti TC" w:ascii="Calibri" w:hAnsi="Calibri"/>
          </w:rPr>
          <w:t>reports/archive-c18fde04e0d8</w:t>
        </w:r>
      </w:hyperlink>
    </w:p>
    <w:p>
      <w:pPr>
        <w:spacing w:before="0" w:after="40" w:line="264" w:lineRule="auto"/>
      </w:pPr>
      <w:r>
        <w:rPr>
          <w:rFonts w:ascii="Calibri" w:hAnsi="Calibri" w:eastAsia="Heiti TC"/>
          <w:b/>
          <w:i w:val="0"/>
          <w:color w:val="0B2545"/>
          <w:sz w:val="23"/>
        </w:rPr>
        <w:t>6. 材料行业研究记录02：铜冶炼与GOES对电网/数据中心扩容的材料约束</w:t>
      </w:r>
    </w:p>
    <w:p>
      <w:pPr>
        <w:spacing w:before="0" w:after="40" w:line="264" w:lineRule="auto"/>
      </w:pPr>
      <w:r>
        <w:rPr>
          <w:rFonts w:ascii="Calibri" w:hAnsi="Calibri" w:eastAsia="Heiti TC"/>
          <w:b w:val="0"/>
          <w:i w:val="0"/>
          <w:color w:val="667085"/>
          <w:sz w:val="17"/>
        </w:rPr>
        <w:t>未识别 · AI 基础设施 · score 48.2</w:t>
      </w:r>
    </w:p>
    <w:p>
      <w:pPr>
        <w:spacing w:before="0" w:after="100" w:line="264" w:lineRule="auto"/>
      </w:pPr>
      <w:r>
        <w:rPr>
          <w:rFonts w:ascii="Calibri" w:hAnsi="Calibri" w:eastAsia="Heiti TC"/>
          <w:b w:val="0"/>
          <w:i w:val="0"/>
          <w:color w:val="334155"/>
          <w:sz w:val="20"/>
        </w:rPr>
        <w:t>材料行业研究记录02：铜冶炼与GOES对电网/数据中心扩容的材料约束 分析师：材料行业分析师 工作日期：2026-07-03 立场：支持，但修正材料瓶颈的表述</w:t>
      </w:r>
    </w:p>
    <w:p>
      <w:pPr>
        <w:spacing w:before="0" w:after="160" w:line="264" w:lineRule="auto"/>
      </w:pPr>
      <w:r>
        <w:rPr>
          <w:rFonts w:ascii="Calibri" w:hAnsi="Calibri" w:eastAsia="Heiti TC"/>
          <w:b w:val="0"/>
          <w:i w:val="0"/>
          <w:color w:val="667085"/>
          <w:sz w:val="17"/>
        </w:rPr>
        <w:t xml:space="preserve">Report: </w:t>
      </w:r>
      <w:hyperlink r:id="rId23">
        <w:r>
          <w:rPr>
            <w:color w:val="285B9D"/>
            <w:u w:val="single"/>
            <w:rFonts w:eastAsia="Heiti TC" w:ascii="Calibri" w:hAnsi="Calibri"/>
          </w:rPr>
          <w:t>reports/archive-3d0e89445cb8</w:t>
        </w:r>
      </w:hyperlink>
    </w:p>
    <w:p>
      <w:pPr>
        <w:pStyle w:val="Heading1"/>
      </w:pPr>
      <w:r>
        <w:t>4. 重点跟踪事项</w:t>
      </w:r>
    </w:p>
    <w:p>
      <w:pPr>
        <w:spacing w:before="0" w:after="40" w:line="264" w:lineRule="auto"/>
      </w:pPr>
      <w:r>
        <w:rPr>
          <w:rFonts w:ascii="Calibri" w:hAnsi="Calibri" w:eastAsia="Heiti TC"/>
          <w:b/>
          <w:i w:val="0"/>
          <w:color w:val="0B2545"/>
          <w:sz w:val="22"/>
        </w:rPr>
        <w:t>研究门户共享研究会话（前序研究）— 2026-07-02</w:t>
      </w:r>
    </w:p>
    <w:p>
      <w:pPr>
        <w:spacing w:before="0" w:after="60" w:line="264" w:lineRule="auto"/>
      </w:pPr>
      <w:r>
        <w:rPr>
          <w:rFonts w:ascii="Calibri" w:hAnsi="Calibri" w:eastAsia="Heiti TC"/>
          <w:b w:val="0"/>
          <w:i w:val="0"/>
          <w:color w:val="334155"/>
          <w:sz w:val="20"/>
        </w:rPr>
        <w:t>工业供给瓶颈，影响 5 / 概率 3</w:t>
      </w:r>
    </w:p>
    <w:p>
      <w:pPr>
        <w:spacing w:before="0" w:after="160" w:line="264" w:lineRule="auto"/>
      </w:pPr>
      <w:r>
        <w:rPr>
          <w:rFonts w:ascii="Calibri" w:hAnsi="Calibri" w:eastAsia="Heiti TC"/>
          <w:b w:val="0"/>
          <w:i w:val="0"/>
          <w:color w:val="667085"/>
          <w:sz w:val="17"/>
        </w:rPr>
        <w:t xml:space="preserve">Report: </w:t>
      </w:r>
      <w:hyperlink r:id="rId13">
        <w:r>
          <w:rPr>
            <w:color w:val="285B9D"/>
            <w:u w:val="single"/>
            <w:rFonts w:eastAsia="Heiti TC" w:ascii="Calibri" w:hAnsi="Calibri"/>
          </w:rPr>
          <w:t>reports/archive-ab42ff09df9e</w:t>
        </w:r>
      </w:hyperlink>
    </w:p>
    <w:p>
      <w:pPr>
        <w:spacing w:before="0" w:after="40" w:line="264" w:lineRule="auto"/>
      </w:pPr>
      <w:r>
        <w:rPr>
          <w:rFonts w:ascii="Calibri" w:hAnsi="Calibri" w:eastAsia="Heiti TC"/>
          <w:b/>
          <w:i w:val="0"/>
          <w:color w:val="0B2545"/>
          <w:sz w:val="22"/>
        </w:rPr>
        <w:t>全球关键电力设备（变压器与重型燃机）供应链产能与制造扩产进度分析</w:t>
      </w:r>
    </w:p>
    <w:p>
      <w:pPr>
        <w:spacing w:before="0" w:after="60" w:line="264" w:lineRule="auto"/>
      </w:pPr>
      <w:r>
        <w:rPr>
          <w:rFonts w:ascii="Calibri" w:hAnsi="Calibri" w:eastAsia="Heiti TC"/>
          <w:b w:val="0"/>
          <w:i w:val="0"/>
          <w:color w:val="334155"/>
          <w:sz w:val="20"/>
        </w:rPr>
        <w:t>工业供给瓶颈，影响 5 / 概率 4</w:t>
      </w:r>
    </w:p>
    <w:p>
      <w:pPr>
        <w:spacing w:before="0" w:after="160" w:line="264" w:lineRule="auto"/>
      </w:pPr>
      <w:r>
        <w:rPr>
          <w:rFonts w:ascii="Calibri" w:hAnsi="Calibri" w:eastAsia="Heiti TC"/>
          <w:b w:val="0"/>
          <w:i w:val="0"/>
          <w:color w:val="667085"/>
          <w:sz w:val="17"/>
        </w:rPr>
        <w:t xml:space="preserve">Report: </w:t>
      </w:r>
      <w:hyperlink r:id="rId24">
        <w:r>
          <w:rPr>
            <w:color w:val="285B9D"/>
            <w:u w:val="single"/>
            <w:rFonts w:eastAsia="Heiti TC" w:ascii="Calibri" w:hAnsi="Calibri"/>
          </w:rPr>
          <w:t>reports/archive-1140ef31e3de</w:t>
        </w:r>
      </w:hyperlink>
    </w:p>
    <w:p>
      <w:pPr>
        <w:spacing w:before="0" w:after="40" w:line="264" w:lineRule="auto"/>
      </w:pPr>
      <w:r>
        <w:rPr>
          <w:rFonts w:ascii="Calibri" w:hAnsi="Calibri" w:eastAsia="Heiti TC"/>
          <w:b/>
          <w:i w:val="0"/>
          <w:color w:val="0B2545"/>
          <w:sz w:val="22"/>
        </w:rPr>
        <w:t>政策碎片化与变压器瓶颈延续下的跨资产组合表达 (2026-06-28)</w:t>
      </w:r>
    </w:p>
    <w:p>
      <w:pPr>
        <w:spacing w:before="0" w:after="60" w:line="264" w:lineRule="auto"/>
      </w:pPr>
      <w:r>
        <w:rPr>
          <w:rFonts w:ascii="Calibri" w:hAnsi="Calibri" w:eastAsia="Heiti TC"/>
          <w:b w:val="0"/>
          <w:i w:val="0"/>
          <w:color w:val="334155"/>
          <w:sz w:val="20"/>
        </w:rPr>
        <w:t>电力与电网，影响 5 / 概率 5</w:t>
      </w:r>
    </w:p>
    <w:p>
      <w:pPr>
        <w:spacing w:before="0" w:after="160" w:line="264" w:lineRule="auto"/>
      </w:pPr>
      <w:r>
        <w:rPr>
          <w:rFonts w:ascii="Calibri" w:hAnsi="Calibri" w:eastAsia="Heiti TC"/>
          <w:b w:val="0"/>
          <w:i w:val="0"/>
          <w:color w:val="667085"/>
          <w:sz w:val="17"/>
        </w:rPr>
        <w:t xml:space="preserve">Report: </w:t>
      </w:r>
      <w:hyperlink r:id="rId25">
        <w:r>
          <w:rPr>
            <w:color w:val="285B9D"/>
            <w:u w:val="single"/>
            <w:rFonts w:eastAsia="Heiti TC" w:ascii="Calibri" w:hAnsi="Calibri"/>
          </w:rPr>
          <w:t>reports/archive-8f5020ea89ac</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eiti TC"/>
                <w:b/>
                <w:color w:val="475569"/>
                <w:sz w:val="18"/>
              </w:rPr>
              <w:t>报告</w:t>
            </w:r>
          </w:p>
        </w:tc>
        <w:tc>
          <w:tcPr>
            <w:tcW w:type="dxa" w:w="1560"/>
            <w:vAlign w:val="center"/>
            <w:shd w:fill="F2F4F7"/>
          </w:tcPr>
          <w:p>
            <w:pPr>
              <w:spacing w:before="0" w:after="0"/>
              <w:jc w:val="center"/>
            </w:pPr>
            <w:r/>
            <w:r>
              <w:rPr>
                <w:rFonts w:ascii="Calibri" w:hAnsi="Calibri" w:eastAsia="Heiti TC"/>
                <w:b/>
                <w:color w:val="475569"/>
                <w:sz w:val="18"/>
              </w:rPr>
              <w:t>分析师</w:t>
            </w:r>
          </w:p>
        </w:tc>
        <w:tc>
          <w:tcPr>
            <w:tcW w:type="dxa" w:w="1680"/>
            <w:vAlign w:val="center"/>
            <w:shd w:fill="F2F4F7"/>
          </w:tcPr>
          <w:p>
            <w:pPr>
              <w:spacing w:before="0" w:after="0"/>
              <w:jc w:val="center"/>
            </w:pPr>
            <w:r/>
            <w:r>
              <w:rPr>
                <w:rFonts w:ascii="Calibri" w:hAnsi="Calibri" w:eastAsia="Heiti TC"/>
                <w:b/>
                <w:color w:val="475569"/>
                <w:sz w:val="18"/>
              </w:rPr>
              <w:t>行业链</w:t>
            </w:r>
          </w:p>
        </w:tc>
        <w:tc>
          <w:tcPr>
            <w:tcW w:type="dxa" w:w="900"/>
            <w:vAlign w:val="center"/>
            <w:shd w:fill="F2F4F7"/>
          </w:tcPr>
          <w:p>
            <w:pPr>
              <w:spacing w:before="0" w:after="0"/>
              <w:jc w:val="center"/>
            </w:pPr>
            <w:r/>
            <w:r>
              <w:rPr>
                <w:rFonts w:ascii="Calibri" w:hAnsi="Calibri" w:eastAsia="Heiti TC"/>
                <w:b/>
                <w:color w:val="475569"/>
                <w:sz w:val="18"/>
              </w:rPr>
              <w:t>评分</w:t>
            </w:r>
          </w:p>
        </w:tc>
        <w:tc>
          <w:tcPr>
            <w:tcW w:type="dxa" w:w="1500"/>
            <w:vAlign w:val="center"/>
            <w:shd w:fill="F2F4F7"/>
          </w:tcPr>
          <w:p>
            <w:pPr>
              <w:spacing w:before="0" w:after="0"/>
              <w:jc w:val="center"/>
            </w:pPr>
            <w:r/>
            <w:r>
              <w:rPr>
                <w:rFonts w:ascii="Calibri" w:hAnsi="Calibri" w:eastAsia="Heiti TC"/>
                <w:b/>
                <w:color w:val="475569"/>
                <w:sz w:val="18"/>
              </w:rPr>
              <w:t>风险</w:t>
            </w:r>
          </w:p>
        </w:tc>
      </w:tr>
      <w:tr>
        <w:tc>
          <w:tcPr>
            <w:tcW w:type="dxa" w:w="3720"/>
            <w:vAlign w:val="center"/>
          </w:tcPr>
          <w:p>
            <w:pPr>
              <w:spacing w:before="0" w:after="0"/>
            </w:pPr>
            <w:r/>
            <w:r>
              <w:rPr>
                <w:rFonts w:ascii="Calibri" w:hAnsi="Calibri" w:eastAsia="Heiti TC"/>
                <w:b w:val="0"/>
                <w:color w:val="111827"/>
                <w:sz w:val="17"/>
              </w:rPr>
              <w:t>半导体设备良率瓶颈与电力并网约束对国内AI算力集群的连锁影响压力测试报告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55.5</w:t>
            </w:r>
          </w:p>
        </w:tc>
        <w:tc>
          <w:tcPr>
            <w:tcW w:type="dxa" w:w="1500"/>
            <w:vAlign w:val="center"/>
          </w:tcPr>
          <w:p>
            <w:pPr>
              <w:spacing w:before="0" w:after="0"/>
              <w:jc w:val="center"/>
            </w:pPr>
            <w:r/>
            <w:r>
              <w:rPr>
                <w:rFonts w:ascii="Calibri" w:hAnsi="Calibri" w:eastAsia="Heiti TC"/>
                <w:b w:val="0"/>
                <w:color w:val="111827"/>
                <w:sz w:val="16"/>
              </w:rPr>
              <w:t>风险 4</w:t>
            </w:r>
          </w:p>
        </w:tc>
      </w:tr>
      <w:tr>
        <w:tc>
          <w:tcPr>
            <w:tcW w:type="dxa" w:w="3720"/>
            <w:vAlign w:val="center"/>
          </w:tcPr>
          <w:p>
            <w:pPr>
              <w:spacing w:before="0" w:after="0"/>
            </w:pPr>
            <w:r/>
            <w:r>
              <w:rPr>
                <w:rFonts w:ascii="Calibri" w:hAnsi="Calibri" w:eastAsia="Heiti TC"/>
                <w:b w:val="0"/>
                <w:color w:val="111827"/>
                <w:sz w:val="17"/>
              </w:rPr>
              <w:t>AI基础设施专题研究报告：算力园区并网排队与变压器产能锁定核验</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55.2</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电力封顶下的国产AI芯片与先进封装稀缺定价地图（2026-07-03）</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半导体与存储</w:t>
            </w:r>
          </w:p>
        </w:tc>
        <w:tc>
          <w:tcPr>
            <w:tcW w:type="dxa" w:w="900"/>
            <w:vAlign w:val="center"/>
          </w:tcPr>
          <w:p>
            <w:pPr>
              <w:spacing w:before="0" w:after="0"/>
              <w:jc w:val="center"/>
            </w:pPr>
            <w:r/>
            <w:r>
              <w:rPr>
                <w:rFonts w:ascii="Calibri" w:hAnsi="Calibri" w:eastAsia="Heiti TC"/>
                <w:b/>
                <w:color w:val="111827"/>
                <w:sz w:val="17"/>
              </w:rPr>
              <w:t>53.9</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智算中心：2026-07-03 的近端约束是电力交付，不是芯片订单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52.6</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半导体设备国产化对卫星制造产能瓶颈的缓解作用及产业链增量评估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48.3</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材料行业研究记录02：铜冶炼与GOES对电网/数据中心扩容的材料约束</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48.2</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2026-07-03：把AI电力哑铃做成相关性感知的全天候组合</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47.8</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2026-07-03 — 极端估值冲击后AI基础设施与电力设备韧性评估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47.6</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研究报告：AI算力集群扩容中电力供应与电网承载力极限评估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45.9</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算力硬约束哑铃组合的风险平价再平衡边界</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45.3</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国内 AI 芯片产业链融资成本与资本开支可持续性：一次压测</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半导体与存储</w:t>
            </w:r>
          </w:p>
        </w:tc>
        <w:tc>
          <w:tcPr>
            <w:tcW w:type="dxa" w:w="900"/>
            <w:vAlign w:val="center"/>
          </w:tcPr>
          <w:p>
            <w:pPr>
              <w:spacing w:before="0" w:after="0"/>
              <w:jc w:val="center"/>
            </w:pPr>
            <w:r/>
            <w:r>
              <w:rPr>
                <w:rFonts w:ascii="Calibri" w:hAnsi="Calibri" w:eastAsia="Heiti TC"/>
                <w:b/>
                <w:color w:val="111827"/>
                <w:sz w:val="17"/>
              </w:rPr>
              <w:t>45.3</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基于央行数量宽松与7.40汇率红线约束的风险平价与Black-Litterman资产再配置模型构建报告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44.8</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A股AI稀缺定价地图与拥挤度风险（2026-07-03）</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44.8</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研究报告：半导体设备国产化对高端机器人零部件的供应链对冲与技术溢出评估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44.0</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30Y国债预期上行及曲线熊陡对长端久期套保效率与信用利差的影响</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43.8</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验证半导体设备与供应链平台的毛利扩张能力：聚焦北方华创与中微公司等平台型企业的产能利用率与订...</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43.4</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全球与A股AI策略：从硬件稀缺走向软件变现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43.2</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先进制程替代物理瓶颈下半导体板块的估值重塑与风格分化</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43.2</w:t>
            </w:r>
          </w:p>
        </w:tc>
        <w:tc>
          <w:tcPr>
            <w:tcW w:type="dxa" w:w="1500"/>
            <w:vAlign w:val="center"/>
          </w:tcPr>
          <w:p>
            <w:pPr>
              <w:spacing w:before="0" w:after="0"/>
              <w:jc w:val="center"/>
            </w:pPr>
            <w:r/>
            <w:r>
              <w:rPr>
                <w:rFonts w:ascii="Calibri" w:hAnsi="Calibri" w:eastAsia="Heiti TC"/>
                <w:b w:val="0"/>
                <w:color w:val="111827"/>
                <w:sz w:val="16"/>
              </w:rPr>
              <w:t>风险 2</w:t>
            </w:r>
          </w:p>
        </w:tc>
      </w:tr>
    </w:tbl>
    <w:p>
      <w:pPr>
        <w:spacing w:before="0" w:after="160" w:line="264" w:lineRule="auto"/>
      </w:pPr>
      <w:r>
        <w:rPr>
          <w:rFonts w:ascii="Calibri" w:hAnsi="Calibri" w:eastAsia="Heiti T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T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eiti T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eiti T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eiti T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eiti T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eiti T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eiti T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eiti T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65ebca13e14f" TargetMode="External"/><Relationship Id="rId13" Type="http://schemas.openxmlformats.org/officeDocument/2006/relationships/hyperlink" Target="reports/archive-ab42ff09df9e" TargetMode="External"/><Relationship Id="rId14" Type="http://schemas.openxmlformats.org/officeDocument/2006/relationships/hyperlink" Target="reports/archive-e9d74faa41fa"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12a03d975eb0" TargetMode="External"/><Relationship Id="rId20" Type="http://schemas.openxmlformats.org/officeDocument/2006/relationships/hyperlink" Target="reports/archive-59fbf7775ce8" TargetMode="External"/><Relationship Id="rId21" Type="http://schemas.openxmlformats.org/officeDocument/2006/relationships/hyperlink" Target="reports/archive-2b7f126fd384" TargetMode="External"/><Relationship Id="rId22" Type="http://schemas.openxmlformats.org/officeDocument/2006/relationships/hyperlink" Target="reports/archive-c18fde04e0d8" TargetMode="External"/><Relationship Id="rId23" Type="http://schemas.openxmlformats.org/officeDocument/2006/relationships/hyperlink" Target="reports/archive-3d0e89445cb8" TargetMode="External"/><Relationship Id="rId24" Type="http://schemas.openxmlformats.org/officeDocument/2006/relationships/hyperlink" Target="reports/archive-1140ef31e3de" TargetMode="External"/><Relationship Id="rId25" Type="http://schemas.openxmlformats.org/officeDocument/2006/relationships/hyperlink" Target="reports/archive-8f5020ea89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2026-07-03</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