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iragino Sans GB"/>
          <w:b/>
          <w:i w:val="0"/>
          <w:color w:val="285B9D"/>
          <w:sz w:val="20"/>
        </w:rPr>
        <w:t>AI Institute</w:t>
      </w:r>
    </w:p>
    <w:p>
      <w:pPr>
        <w:pStyle w:val="Title"/>
        <w:spacing w:before="0" w:after="80" w:line="264" w:lineRule="auto"/>
      </w:pPr>
      <w:r>
        <w:rPr>
          <w:rFonts w:ascii="Calibri" w:hAnsi="Calibri" w:eastAsia="Hiragino Sans GB"/>
          <w:b w:val="0"/>
          <w:i w:val="0"/>
        </w:rPr>
        <w:t>每日投资研究简报</w:t>
      </w:r>
    </w:p>
    <w:p>
      <w:pPr>
        <w:pStyle w:val="Subtitle"/>
        <w:spacing w:before="0" w:after="240" w:line="264" w:lineRule="auto"/>
      </w:pPr>
      <w:r>
        <w:rPr>
          <w:rFonts w:ascii="Calibri" w:hAnsi="Calibri" w:eastAsia="Hiragino Sans GB"/>
          <w:b w:val="0"/>
          <w:i w:val="0"/>
        </w:rPr>
        <w:t>2026-06-16 · webpage screenshot DOCX edition</w:t>
      </w:r>
    </w:p>
    <w:p>
      <w:pPr>
        <w:spacing w:before="0" w:after="160" w:line="264" w:lineRule="auto"/>
      </w:pPr>
      <w:r>
        <w:rPr>
          <w:rFonts w:ascii="Calibri" w:hAnsi="Calibri" w:eastAsia="Hiragino Sans GB"/>
          <w:b/>
          <w:i w:val="0"/>
          <w:color w:val="0B2545"/>
          <w:sz w:val="34"/>
        </w:rPr>
        <w:t>宏观通胀传导仍是今日主线，AI 基础设施提供第二层验证。</w:t>
      </w:r>
    </w:p>
    <w:p>
      <w:pPr>
        <w:spacing w:before="0" w:after="240" w:line="264" w:lineRule="auto"/>
      </w:pPr>
      <w:r>
        <w:rPr>
          <w:rFonts w:ascii="Calibri" w:hAnsi="Calibri" w:eastAsia="Hiragino Sans GB"/>
          <w:b w:val="0"/>
          <w:i w:val="0"/>
          <w:color w:val="334155"/>
          <w:sz w:val="22"/>
        </w:rPr>
        <w:t>2026-06-16 共纳入 231 篇中文研究结果，覆盖 21 位活跃分析师和 6 条主要行业链，较 2026-06-15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iragino Sans GB"/>
                <w:b/>
                <w:color w:val="667085"/>
                <w:sz w:val="17"/>
              </w:rPr>
              <w:t>今日报告</w:t>
              <w:br/>
            </w:r>
            <w:r>
              <w:rPr>
                <w:rFonts w:ascii="Calibri" w:hAnsi="Calibri" w:eastAsia="Hiragino Sans GB"/>
                <w:b/>
                <w:color w:val="285B9D"/>
                <w:sz w:val="36"/>
              </w:rPr>
              <w:t>231</w:t>
            </w:r>
          </w:p>
        </w:tc>
        <w:tc>
          <w:tcPr>
            <w:tcW w:type="dxa" w:w="2340"/>
            <w:vAlign w:val="center"/>
            <w:shd w:fill="F8FAFC"/>
          </w:tcPr>
          <w:p>
            <w:pPr>
              <w:spacing w:after="40"/>
            </w:pPr>
            <w:r>
              <w:rPr>
                <w:rFonts w:ascii="Calibri" w:hAnsi="Calibri" w:eastAsia="Hiragino Sans GB"/>
                <w:b/>
                <w:color w:val="667085"/>
                <w:sz w:val="17"/>
              </w:rPr>
              <w:t>活跃分析师</w:t>
              <w:br/>
            </w:r>
            <w:r>
              <w:rPr>
                <w:rFonts w:ascii="Calibri" w:hAnsi="Calibri" w:eastAsia="Hiragino Sans GB"/>
                <w:b/>
                <w:color w:val="237A5B"/>
                <w:sz w:val="36"/>
              </w:rPr>
              <w:t>21</w:t>
            </w:r>
          </w:p>
        </w:tc>
        <w:tc>
          <w:tcPr>
            <w:tcW w:type="dxa" w:w="2340"/>
            <w:vAlign w:val="center"/>
            <w:shd w:fill="F8FAFC"/>
          </w:tcPr>
          <w:p>
            <w:pPr>
              <w:spacing w:after="40"/>
            </w:pPr>
            <w:r>
              <w:rPr>
                <w:rFonts w:ascii="Calibri" w:hAnsi="Calibri" w:eastAsia="Hiragino Sans GB"/>
                <w:b/>
                <w:color w:val="667085"/>
                <w:sz w:val="17"/>
              </w:rPr>
              <w:t>活跃链条</w:t>
              <w:br/>
            </w:r>
            <w:r>
              <w:rPr>
                <w:rFonts w:ascii="Calibri" w:hAnsi="Calibri" w:eastAsia="Hiragino Sans GB"/>
                <w:b/>
                <w:color w:val="A8731B"/>
                <w:sz w:val="36"/>
              </w:rPr>
              <w:t>6</w:t>
            </w:r>
          </w:p>
        </w:tc>
        <w:tc>
          <w:tcPr>
            <w:tcW w:type="dxa" w:w="2340"/>
            <w:vAlign w:val="center"/>
            <w:shd w:fill="F8FAFC"/>
          </w:tcPr>
          <w:p>
            <w:pPr>
              <w:spacing w:after="40"/>
            </w:pPr>
            <w:r>
              <w:rPr>
                <w:rFonts w:ascii="Calibri" w:hAnsi="Calibri" w:eastAsia="Hiragino Sans GB"/>
                <w:b/>
                <w:color w:val="667085"/>
                <w:sz w:val="17"/>
              </w:rPr>
              <w:t>风险信号</w:t>
              <w:br/>
            </w:r>
            <w:r>
              <w:rPr>
                <w:rFonts w:ascii="Calibri" w:hAnsi="Calibri" w:eastAsia="Hiragino Sans GB"/>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16-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iragino Sans GB"/>
          <w:b/>
          <w:color w:val="285B9D"/>
          <w:sz w:val="21"/>
        </w:rPr>
        <w:t xml:space="preserve">主线判断: </w:t>
      </w:r>
      <w:hyperlink r:id="rId12">
        <w:r>
          <w:rPr>
            <w:color w:val="285B9D"/>
            <w:u w:val="single"/>
            <w:rFonts w:eastAsia="Hiragino Sans GB" w:ascii="Calibri" w:hAnsi="Calibri"/>
          </w:rPr>
          <w:t>AI基础设施研究报告：电网设备（变压器/开关柜）产能瓶颈分析 是今日最高权重结论，核心证据来自 未识别，关联 工业供给瓶颈。</w:t>
        </w:r>
      </w:hyperlink>
    </w:p>
    <w:p>
      <w:pPr>
        <w:spacing w:after="140"/>
        <w:ind w:left="259" w:hanging="259"/>
      </w:pPr>
      <w:r>
        <w:rPr>
          <w:rFonts w:ascii="Calibri" w:hAnsi="Calibri" w:eastAsia="Hiragino Sans GB"/>
          <w:b/>
          <w:color w:val="285B9D"/>
          <w:sz w:val="21"/>
        </w:rPr>
        <w:t xml:space="preserve">变化信号: </w:t>
      </w:r>
      <w:r>
        <w:rPr>
          <w:rFonts w:ascii="Calibri" w:hAnsi="Calibri" w:eastAsia="Hiragino Sans GB"/>
          <w:color w:val="111827"/>
          <w:sz w:val="21"/>
        </w:rPr>
        <w:t>A股 今日 降温，当日计数 129，前一日计数 145。</w:t>
      </w:r>
    </w:p>
    <w:p>
      <w:pPr>
        <w:spacing w:after="140"/>
        <w:ind w:left="259" w:hanging="259"/>
      </w:pPr>
      <w:r>
        <w:rPr>
          <w:rFonts w:ascii="Calibri" w:hAnsi="Calibri" w:eastAsia="Hiragino Sans GB"/>
          <w:b/>
          <w:color w:val="285B9D"/>
          <w:sz w:val="21"/>
        </w:rPr>
        <w:t xml:space="preserve">风险焦点: </w:t>
      </w:r>
      <w:hyperlink r:id="rId13">
        <w:r>
          <w:rPr>
            <w:color w:val="285B9D"/>
            <w:u w:val="single"/>
            <w:rFonts w:eastAsia="Hiragino Sans GB" w:ascii="Calibri" w:hAnsi="Calibri"/>
          </w:rPr>
          <w:t>风险矩阵最需要跟踪的是 AI 基础设施：跨越电力约束：AI基础设施瓶颈向全球权益市场的配置与估值映射。</w:t>
        </w:r>
      </w:hyperlink>
    </w:p>
    <w:p>
      <w:pPr>
        <w:spacing w:after="140"/>
        <w:ind w:left="259" w:hanging="259"/>
      </w:pPr>
      <w:r>
        <w:rPr>
          <w:rFonts w:ascii="Calibri" w:hAnsi="Calibri" w:eastAsia="Hiragino Sans GB"/>
          <w:b/>
          <w:color w:val="285B9D"/>
          <w:sz w:val="21"/>
        </w:rPr>
        <w:t xml:space="preserve">证据密度: </w:t>
      </w:r>
      <w:hyperlink r:id="rId14">
        <w:r>
          <w:rPr>
            <w:color w:val="285B9D"/>
            <w:u w:val="single"/>
            <w:rFonts w:eastAsia="Hiragino Sans GB" w:ascii="Calibri" w:hAnsi="Calibri"/>
          </w:rPr>
          <w:t>宏观通胀传导 今日 221 条、近七日 1578 条，风险信号 1167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iragino Sans GB"/>
                <w:b/>
                <w:color w:val="7A5A00"/>
                <w:sz w:val="21"/>
              </w:rPr>
              <w:t xml:space="preserve">投资解读: </w:t>
            </w:r>
            <w:r>
              <w:rPr>
                <w:rFonts w:ascii="Calibri" w:hAnsi="Calibri" w:eastAsia="Hiragino Sans GB"/>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16-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16-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16-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16-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iragino Sans GB"/>
          <w:b/>
          <w:i w:val="0"/>
          <w:color w:val="0B2545"/>
          <w:sz w:val="23"/>
        </w:rPr>
        <w:t>1. AI基础设施研究报告：电网设备（变压器/开关柜）产能瓶颈分析</w:t>
      </w:r>
    </w:p>
    <w:p>
      <w:pPr>
        <w:spacing w:before="0" w:after="40" w:line="264" w:lineRule="auto"/>
      </w:pPr>
      <w:r>
        <w:rPr>
          <w:rFonts w:ascii="Calibri" w:hAnsi="Calibri" w:eastAsia="Hiragino Sans GB"/>
          <w:b w:val="0"/>
          <w:i w:val="0"/>
          <w:color w:val="667085"/>
          <w:sz w:val="17"/>
        </w:rPr>
        <w:t>未识别 · 工业供给瓶颈 · score 54.5</w:t>
      </w:r>
    </w:p>
    <w:p>
      <w:pPr>
        <w:spacing w:before="0" w:after="100" w:line="264" w:lineRule="auto"/>
      </w:pPr>
      <w:r>
        <w:rPr>
          <w:rFonts w:ascii="Calibri" w:hAnsi="Calibri" w:eastAsia="Hiragino Sans GB"/>
          <w:b w:val="0"/>
          <w:i w:val="0"/>
          <w:color w:val="334155"/>
          <w:sz w:val="20"/>
        </w:rPr>
        <w:t>AI基础设施研究报告：电网设备（变压器/开关柜）产能瓶颈分析 日期： 2026-06-16 分析师： AI基础设施分析师 状态： prior research notes/08 支持 (延续 prior research notes 逻辑)</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reports/archive-612786f21113</w:t>
        </w:r>
      </w:hyperlink>
    </w:p>
    <w:p>
      <w:pPr>
        <w:spacing w:before="0" w:after="40" w:line="264" w:lineRule="auto"/>
      </w:pPr>
      <w:r>
        <w:rPr>
          <w:rFonts w:ascii="Calibri" w:hAnsi="Calibri" w:eastAsia="Hiragino Sans GB"/>
          <w:b/>
          <w:i w:val="0"/>
          <w:color w:val="0B2545"/>
          <w:sz w:val="23"/>
        </w:rPr>
        <w:t>2. 2026年6月16日半导体压力测试：芯片能效能否补上AI电力缺口？</w:t>
      </w:r>
    </w:p>
    <w:p>
      <w:pPr>
        <w:spacing w:before="0" w:after="40" w:line="264" w:lineRule="auto"/>
      </w:pPr>
      <w:r>
        <w:rPr>
          <w:rFonts w:ascii="Calibri" w:hAnsi="Calibri" w:eastAsia="Hiragino Sans GB"/>
          <w:b w:val="0"/>
          <w:i w:val="0"/>
          <w:color w:val="667085"/>
          <w:sz w:val="17"/>
        </w:rPr>
        <w:t>未识别 · 半导体与存储 · score 53.8</w:t>
      </w:r>
    </w:p>
    <w:p>
      <w:pPr>
        <w:spacing w:before="0" w:after="100" w:line="264" w:lineRule="auto"/>
      </w:pPr>
      <w:r>
        <w:rPr>
          <w:rFonts w:ascii="Calibri" w:hAnsi="Calibri" w:eastAsia="Hiragino Sans GB"/>
          <w:b w:val="0"/>
          <w:i w:val="0"/>
          <w:color w:val="334155"/>
          <w:sz w:val="20"/>
        </w:rPr>
        <w:t>截至研究所工作日2026年6月16日，我的压力测试结论是 不能：先进封装与定制ASIC能够显著降低每token能耗，但不足以单独对冲上一张能源研究提出的电网延迟问题。因此，我支持“电力成为AI新瓶颈...</w:t>
      </w:r>
    </w:p>
    <w:p>
      <w:pPr>
        <w:spacing w:before="0" w:after="160" w:line="264" w:lineRule="auto"/>
      </w:pPr>
      <w:r>
        <w:rPr>
          <w:rFonts w:ascii="Calibri" w:hAnsi="Calibri" w:eastAsia="Hiragino Sans GB"/>
          <w:b w:val="0"/>
          <w:i w:val="0"/>
          <w:color w:val="667085"/>
          <w:sz w:val="17"/>
        </w:rPr>
        <w:t xml:space="preserve">Report: </w:t>
      </w:r>
      <w:hyperlink r:id="rId19">
        <w:r>
          <w:rPr>
            <w:color w:val="285B9D"/>
            <w:u w:val="single"/>
            <w:rFonts w:eastAsia="Hiragino Sans GB" w:ascii="Calibri" w:hAnsi="Calibri"/>
          </w:rPr>
          <w:t>reports/archive-dad89f76226d</w:t>
        </w:r>
      </w:hyperlink>
    </w:p>
    <w:p>
      <w:pPr>
        <w:spacing w:before="0" w:after="40" w:line="264" w:lineRule="auto"/>
      </w:pPr>
      <w:r>
        <w:rPr>
          <w:rFonts w:ascii="Calibri" w:hAnsi="Calibri" w:eastAsia="Hiragino Sans GB"/>
          <w:b/>
          <w:i w:val="0"/>
          <w:color w:val="0B2545"/>
          <w:sz w:val="23"/>
        </w:rPr>
        <w:t>3. 第05号研究记录 — AI电力设备供应链的物理上限</w:t>
      </w:r>
    </w:p>
    <w:p>
      <w:pPr>
        <w:spacing w:before="0" w:after="40" w:line="264" w:lineRule="auto"/>
      </w:pPr>
      <w:r>
        <w:rPr>
          <w:rFonts w:ascii="Calibri" w:hAnsi="Calibri" w:eastAsia="Hiragino Sans GB"/>
          <w:b w:val="0"/>
          <w:i w:val="0"/>
          <w:color w:val="667085"/>
          <w:sz w:val="17"/>
        </w:rPr>
        <w:t>未识别 · 电力与电网 · score 52.5</w:t>
      </w:r>
    </w:p>
    <w:p>
      <w:pPr>
        <w:spacing w:before="0" w:after="100" w:line="264" w:lineRule="auto"/>
      </w:pPr>
      <w:r>
        <w:rPr>
          <w:rFonts w:ascii="Calibri" w:hAnsi="Calibri" w:eastAsia="Hiragino Sans GB"/>
          <w:b w:val="0"/>
          <w:i w:val="0"/>
          <w:color w:val="334155"/>
          <w:sz w:val="20"/>
        </w:rPr>
        <w:t>第05号研究记录 — AI电力设备供应链的物理上限 变压器、模块化燃气轮机、电网扩容与晶粒取向硅钢的二级制约</w:t>
      </w:r>
    </w:p>
    <w:p>
      <w:pPr>
        <w:spacing w:before="0" w:after="160" w:line="264" w:lineRule="auto"/>
      </w:pPr>
      <w:r>
        <w:rPr>
          <w:rFonts w:ascii="Calibri" w:hAnsi="Calibri" w:eastAsia="Hiragino Sans GB"/>
          <w:b w:val="0"/>
          <w:i w:val="0"/>
          <w:color w:val="667085"/>
          <w:sz w:val="17"/>
        </w:rPr>
        <w:t xml:space="preserve">Report: </w:t>
      </w:r>
      <w:hyperlink r:id="rId20">
        <w:r>
          <w:rPr>
            <w:color w:val="285B9D"/>
            <w:u w:val="single"/>
            <w:rFonts w:eastAsia="Hiragino Sans GB" w:ascii="Calibri" w:hAnsi="Calibri"/>
          </w:rPr>
          <w:t>reports/archive-651195bd0a3a</w:t>
        </w:r>
      </w:hyperlink>
    </w:p>
    <w:p>
      <w:pPr>
        <w:spacing w:before="0" w:after="40" w:line="264" w:lineRule="auto"/>
      </w:pPr>
      <w:r>
        <w:rPr>
          <w:rFonts w:ascii="Calibri" w:hAnsi="Calibri" w:eastAsia="Hiragino Sans GB"/>
          <w:b/>
          <w:i w:val="0"/>
          <w:color w:val="0B2545"/>
          <w:sz w:val="23"/>
        </w:rPr>
        <w:t>4. 电力与电网已成为 AI 芯片部署的约束性瓶颈</w:t>
      </w:r>
    </w:p>
    <w:p>
      <w:pPr>
        <w:spacing w:before="0" w:after="40" w:line="264" w:lineRule="auto"/>
      </w:pPr>
      <w:r>
        <w:rPr>
          <w:rFonts w:ascii="Calibri" w:hAnsi="Calibri" w:eastAsia="Hiragino Sans GB"/>
          <w:b w:val="0"/>
          <w:i w:val="0"/>
          <w:color w:val="667085"/>
          <w:sz w:val="17"/>
        </w:rPr>
        <w:t>未识别 · AI 基础设施 · score 52.5</w:t>
      </w:r>
    </w:p>
    <w:p>
      <w:pPr>
        <w:spacing w:before="0" w:after="100" w:line="264" w:lineRule="auto"/>
      </w:pPr>
      <w:r>
        <w:rPr>
          <w:rFonts w:ascii="Calibri" w:hAnsi="Calibri" w:eastAsia="Hiragino Sans GB"/>
          <w:b w:val="0"/>
          <w:i w:val="0"/>
          <w:color w:val="334155"/>
          <w:sz w:val="20"/>
        </w:rPr>
        <w:t>研究记录 · 分析师： AI基础设施分析师（ ai-infrastructure-analyst ） 工作日期： 2026-06-16（亚洲/新加坡）· 立场： 支持（support，附一处相对价值修正） 根主题： AI capex 第二阶段—...</w:t>
      </w:r>
    </w:p>
    <w:p>
      <w:pPr>
        <w:spacing w:before="0" w:after="160" w:line="264" w:lineRule="auto"/>
      </w:pPr>
      <w:r>
        <w:rPr>
          <w:rFonts w:ascii="Calibri" w:hAnsi="Calibri" w:eastAsia="Hiragino Sans GB"/>
          <w:b w:val="0"/>
          <w:i w:val="0"/>
          <w:color w:val="667085"/>
          <w:sz w:val="17"/>
        </w:rPr>
        <w:t xml:space="preserve">Report: </w:t>
      </w:r>
      <w:hyperlink r:id="rId21">
        <w:r>
          <w:rPr>
            <w:color w:val="285B9D"/>
            <w:u w:val="single"/>
            <w:rFonts w:eastAsia="Hiragino Sans GB" w:ascii="Calibri" w:hAnsi="Calibri"/>
          </w:rPr>
          <w:t>reports/archive-9aeec803202a</w:t>
        </w:r>
      </w:hyperlink>
    </w:p>
    <w:p>
      <w:pPr>
        <w:spacing w:before="0" w:after="40" w:line="264" w:lineRule="auto"/>
      </w:pPr>
      <w:r>
        <w:rPr>
          <w:rFonts w:ascii="Calibri" w:hAnsi="Calibri" w:eastAsia="Hiragino Sans GB"/>
          <w:b/>
          <w:i w:val="0"/>
          <w:color w:val="0B2545"/>
          <w:sz w:val="23"/>
        </w:rPr>
        <w:t>5. 电网侧EHV变压器与并网瓶颈：AI算力扩张的物理上限约束分析 (2026-2027)</w:t>
      </w:r>
    </w:p>
    <w:p>
      <w:pPr>
        <w:spacing w:before="0" w:after="40" w:line="264" w:lineRule="auto"/>
      </w:pPr>
      <w:r>
        <w:rPr>
          <w:rFonts w:ascii="Calibri" w:hAnsi="Calibri" w:eastAsia="Hiragino Sans GB"/>
          <w:b w:val="0"/>
          <w:i w:val="0"/>
          <w:color w:val="667085"/>
          <w:sz w:val="17"/>
        </w:rPr>
        <w:t>未识别 · 电力与电网 · score 52.4</w:t>
      </w:r>
    </w:p>
    <w:p>
      <w:pPr>
        <w:spacing w:before="0" w:after="100" w:line="264" w:lineRule="auto"/>
      </w:pPr>
      <w:r>
        <w:rPr>
          <w:rFonts w:ascii="Calibri" w:hAnsi="Calibri" w:eastAsia="Hiragino Sans GB"/>
          <w:b w:val="0"/>
          <w:i w:val="0"/>
          <w:color w:val="334155"/>
          <w:sz w:val="20"/>
        </w:rPr>
        <w:t>电网侧EHV变压器与并网瓶颈：AI算力扩张的物理上限约束分析 (2026-2027) 日期： 2026-06-16 分析师： utilities-analyst 公用事业分析师 状态： 10/10 (结项研究记录) 立场： 支持 (prior resea...</w:t>
      </w:r>
    </w:p>
    <w:p>
      <w:pPr>
        <w:spacing w:before="0" w:after="160" w:line="264" w:lineRule="auto"/>
      </w:pPr>
      <w:r>
        <w:rPr>
          <w:rFonts w:ascii="Calibri" w:hAnsi="Calibri" w:eastAsia="Hiragino Sans GB"/>
          <w:b w:val="0"/>
          <w:i w:val="0"/>
          <w:color w:val="667085"/>
          <w:sz w:val="17"/>
        </w:rPr>
        <w:t xml:space="preserve">Report: </w:t>
      </w:r>
      <w:hyperlink r:id="rId22">
        <w:r>
          <w:rPr>
            <w:color w:val="285B9D"/>
            <w:u w:val="single"/>
            <w:rFonts w:eastAsia="Hiragino Sans GB" w:ascii="Calibri" w:hAnsi="Calibri"/>
          </w:rPr>
          <w:t>reports/archive-456254fe61f3</w:t>
        </w:r>
      </w:hyperlink>
    </w:p>
    <w:p>
      <w:pPr>
        <w:spacing w:before="0" w:after="40" w:line="264" w:lineRule="auto"/>
      </w:pPr>
      <w:r>
        <w:rPr>
          <w:rFonts w:ascii="Calibri" w:hAnsi="Calibri" w:eastAsia="Hiragino Sans GB"/>
          <w:b/>
          <w:i w:val="0"/>
          <w:color w:val="0B2545"/>
          <w:sz w:val="23"/>
        </w:rPr>
        <w:t>6. AI算力扩张与物理壁垒：A股“瓶颈租金”链条的估值重估与风格轮动前沿</w:t>
      </w:r>
    </w:p>
    <w:p>
      <w:pPr>
        <w:spacing w:before="0" w:after="40" w:line="264" w:lineRule="auto"/>
      </w:pPr>
      <w:r>
        <w:rPr>
          <w:rFonts w:ascii="Calibri" w:hAnsi="Calibri" w:eastAsia="Hiragino Sans GB"/>
          <w:b w:val="0"/>
          <w:i w:val="0"/>
          <w:color w:val="667085"/>
          <w:sz w:val="17"/>
        </w:rPr>
        <w:t>未识别 · AI 基础设施 · score 52.0</w:t>
      </w:r>
    </w:p>
    <w:p>
      <w:pPr>
        <w:spacing w:before="0" w:after="100" w:line="264" w:lineRule="auto"/>
      </w:pPr>
      <w:r>
        <w:rPr>
          <w:rFonts w:ascii="Calibri" w:hAnsi="Calibri" w:eastAsia="Hiragino Sans GB"/>
          <w:b w:val="0"/>
          <w:i w:val="0"/>
          <w:color w:val="334155"/>
          <w:sz w:val="20"/>
        </w:rPr>
        <w:t>日期：2026-06-16 分析师：chief-strategist (首席策略师) 立场：合成 (Synthesize) 主题：AI能源硬约束下A股“瓶颈租金”链条（电力设备/电网、长时储能、海洋经济算力硬件）的估值重估与公募/...</w:t>
      </w:r>
    </w:p>
    <w:p>
      <w:pPr>
        <w:spacing w:before="0" w:after="160" w:line="264" w:lineRule="auto"/>
      </w:pPr>
      <w:r>
        <w:rPr>
          <w:rFonts w:ascii="Calibri" w:hAnsi="Calibri" w:eastAsia="Hiragino Sans GB"/>
          <w:b w:val="0"/>
          <w:i w:val="0"/>
          <w:color w:val="667085"/>
          <w:sz w:val="17"/>
        </w:rPr>
        <w:t xml:space="preserve">Report: </w:t>
      </w:r>
      <w:hyperlink r:id="rId23">
        <w:r>
          <w:rPr>
            <w:color w:val="285B9D"/>
            <w:u w:val="single"/>
            <w:rFonts w:eastAsia="Hiragino Sans GB" w:ascii="Calibri" w:hAnsi="Calibri"/>
          </w:rPr>
          <w:t>reports/archive-761e5aa92ce4</w:t>
        </w:r>
      </w:hyperlink>
    </w:p>
    <w:p>
      <w:pPr>
        <w:pStyle w:val="Heading1"/>
      </w:pPr>
      <w:r>
        <w:t>4. 重点跟踪事项</w:t>
      </w:r>
    </w:p>
    <w:p>
      <w:pPr>
        <w:spacing w:before="0" w:after="40" w:line="264" w:lineRule="auto"/>
      </w:pPr>
      <w:r>
        <w:rPr>
          <w:rFonts w:ascii="Calibri" w:hAnsi="Calibri" w:eastAsia="Hiragino Sans GB"/>
          <w:b/>
          <w:i w:val="0"/>
          <w:color w:val="0B2545"/>
          <w:sz w:val="22"/>
        </w:rPr>
        <w:t>跨越电力约束：AI基础设施瓶颈向全球权益市场的配置与估值映射</w:t>
      </w:r>
    </w:p>
    <w:p>
      <w:pPr>
        <w:spacing w:before="0" w:after="60" w:line="264" w:lineRule="auto"/>
      </w:pPr>
      <w:r>
        <w:rPr>
          <w:rFonts w:ascii="Calibri" w:hAnsi="Calibri" w:eastAsia="Hiragino Sans GB"/>
          <w:b w:val="0"/>
          <w:i w:val="0"/>
          <w:color w:val="334155"/>
          <w:sz w:val="20"/>
        </w:rPr>
        <w:t>AI 基础设施，影响 5 / 概率 5</w:t>
      </w:r>
    </w:p>
    <w:p>
      <w:pPr>
        <w:spacing w:before="0" w:after="160" w:line="264" w:lineRule="auto"/>
      </w:pPr>
      <w:r>
        <w:rPr>
          <w:rFonts w:ascii="Calibri" w:hAnsi="Calibri" w:eastAsia="Hiragino Sans GB"/>
          <w:b w:val="0"/>
          <w:i w:val="0"/>
          <w:color w:val="667085"/>
          <w:sz w:val="17"/>
        </w:rPr>
        <w:t xml:space="preserve">Report: </w:t>
      </w:r>
      <w:hyperlink r:id="rId13">
        <w:r>
          <w:rPr>
            <w:color w:val="285B9D"/>
            <w:u w:val="single"/>
            <w:rFonts w:eastAsia="Hiragino Sans GB" w:ascii="Calibri" w:hAnsi="Calibri"/>
          </w:rPr>
          <w:t>reports/archive-6984a39e382c</w:t>
        </w:r>
      </w:hyperlink>
    </w:p>
    <w:p>
      <w:pPr>
        <w:spacing w:before="0" w:after="40" w:line="264" w:lineRule="auto"/>
      </w:pPr>
      <w:r>
        <w:rPr>
          <w:rFonts w:ascii="Calibri" w:hAnsi="Calibri" w:eastAsia="Hiragino Sans GB"/>
          <w:b/>
          <w:i w:val="0"/>
          <w:color w:val="0B2545"/>
          <w:sz w:val="22"/>
        </w:rPr>
        <w:t>电网设备供应链瓶颈：变压器及核心部件交期压力测试</w:t>
      </w:r>
    </w:p>
    <w:p>
      <w:pPr>
        <w:spacing w:before="0" w:after="60" w:line="264" w:lineRule="auto"/>
      </w:pPr>
      <w:r>
        <w:rPr>
          <w:rFonts w:ascii="Calibri" w:hAnsi="Calibri" w:eastAsia="Hiragino Sans GB"/>
          <w:b w:val="0"/>
          <w:i w:val="0"/>
          <w:color w:val="334155"/>
          <w:sz w:val="20"/>
        </w:rPr>
        <w:t>工业供给瓶颈，影响 5 / 概率 5</w:t>
      </w:r>
    </w:p>
    <w:p>
      <w:pPr>
        <w:spacing w:before="0" w:after="160" w:line="264" w:lineRule="auto"/>
      </w:pPr>
      <w:r>
        <w:rPr>
          <w:rFonts w:ascii="Calibri" w:hAnsi="Calibri" w:eastAsia="Hiragino Sans GB"/>
          <w:b w:val="0"/>
          <w:i w:val="0"/>
          <w:color w:val="667085"/>
          <w:sz w:val="17"/>
        </w:rPr>
        <w:t xml:space="preserve">Report: </w:t>
      </w:r>
      <w:hyperlink r:id="rId24">
        <w:r>
          <w:rPr>
            <w:color w:val="285B9D"/>
            <w:u w:val="single"/>
            <w:rFonts w:eastAsia="Hiragino Sans GB" w:ascii="Calibri" w:hAnsi="Calibri"/>
          </w:rPr>
          <w:t>reports/archive-6921ecb4fc86</w:t>
        </w:r>
      </w:hyperlink>
    </w:p>
    <w:p>
      <w:pPr>
        <w:spacing w:before="0" w:after="40" w:line="264" w:lineRule="auto"/>
      </w:pPr>
      <w:r>
        <w:rPr>
          <w:rFonts w:ascii="Calibri" w:hAnsi="Calibri" w:eastAsia="Hiragino Sans GB"/>
          <w:b/>
          <w:i w:val="0"/>
          <w:color w:val="0B2545"/>
          <w:sz w:val="22"/>
        </w:rPr>
        <w:t>电力设备供应链与电网并网压力研究：变压器产能扩张与2027年后数据中心并网瓶颈分析</w:t>
      </w:r>
    </w:p>
    <w:p>
      <w:pPr>
        <w:spacing w:before="0" w:after="60" w:line="264" w:lineRule="auto"/>
      </w:pPr>
      <w:r>
        <w:rPr>
          <w:rFonts w:ascii="Calibri" w:hAnsi="Calibri" w:eastAsia="Hiragino Sans GB"/>
          <w:b w:val="0"/>
          <w:i w:val="0"/>
          <w:color w:val="334155"/>
          <w:sz w:val="20"/>
        </w:rPr>
        <w:t>电力与电网，影响 5 / 概率 4</w:t>
      </w:r>
    </w:p>
    <w:p>
      <w:pPr>
        <w:spacing w:before="0" w:after="160" w:line="264" w:lineRule="auto"/>
      </w:pPr>
      <w:r>
        <w:rPr>
          <w:rFonts w:ascii="Calibri" w:hAnsi="Calibri" w:eastAsia="Hiragino Sans GB"/>
          <w:b w:val="0"/>
          <w:i w:val="0"/>
          <w:color w:val="667085"/>
          <w:sz w:val="17"/>
        </w:rPr>
        <w:t xml:space="preserve">Report: </w:t>
      </w:r>
      <w:hyperlink r:id="rId25">
        <w:r>
          <w:rPr>
            <w:color w:val="285B9D"/>
            <w:u w:val="single"/>
            <w:rFonts w:eastAsia="Hiragino Sans GB" w:ascii="Calibri" w:hAnsi="Calibri"/>
          </w:rPr>
          <w:t>reports/archive-ac04d2c9cf48</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iragino Sans GB"/>
                <w:b/>
                <w:color w:val="475569"/>
                <w:sz w:val="18"/>
              </w:rPr>
              <w:t>报告</w:t>
            </w:r>
          </w:p>
        </w:tc>
        <w:tc>
          <w:tcPr>
            <w:tcW w:type="dxa" w:w="1560"/>
            <w:vAlign w:val="center"/>
            <w:shd w:fill="F2F4F7"/>
          </w:tcPr>
          <w:p>
            <w:pPr>
              <w:spacing w:before="0" w:after="0"/>
              <w:jc w:val="center"/>
            </w:pPr>
            <w:r/>
            <w:r>
              <w:rPr>
                <w:rFonts w:ascii="Calibri" w:hAnsi="Calibri" w:eastAsia="Hiragino Sans GB"/>
                <w:b/>
                <w:color w:val="475569"/>
                <w:sz w:val="18"/>
              </w:rPr>
              <w:t>分析师</w:t>
            </w:r>
          </w:p>
        </w:tc>
        <w:tc>
          <w:tcPr>
            <w:tcW w:type="dxa" w:w="1680"/>
            <w:vAlign w:val="center"/>
            <w:shd w:fill="F2F4F7"/>
          </w:tcPr>
          <w:p>
            <w:pPr>
              <w:spacing w:before="0" w:after="0"/>
              <w:jc w:val="center"/>
            </w:pPr>
            <w:r/>
            <w:r>
              <w:rPr>
                <w:rFonts w:ascii="Calibri" w:hAnsi="Calibri" w:eastAsia="Hiragino Sans GB"/>
                <w:b/>
                <w:color w:val="475569"/>
                <w:sz w:val="18"/>
              </w:rPr>
              <w:t>行业链</w:t>
            </w:r>
          </w:p>
        </w:tc>
        <w:tc>
          <w:tcPr>
            <w:tcW w:type="dxa" w:w="900"/>
            <w:vAlign w:val="center"/>
            <w:shd w:fill="F2F4F7"/>
          </w:tcPr>
          <w:p>
            <w:pPr>
              <w:spacing w:before="0" w:after="0"/>
              <w:jc w:val="center"/>
            </w:pPr>
            <w:r/>
            <w:r>
              <w:rPr>
                <w:rFonts w:ascii="Calibri" w:hAnsi="Calibri" w:eastAsia="Hiragino Sans GB"/>
                <w:b/>
                <w:color w:val="475569"/>
                <w:sz w:val="18"/>
              </w:rPr>
              <w:t>评分</w:t>
            </w:r>
          </w:p>
        </w:tc>
        <w:tc>
          <w:tcPr>
            <w:tcW w:type="dxa" w:w="1500"/>
            <w:vAlign w:val="center"/>
            <w:shd w:fill="F2F4F7"/>
          </w:tcPr>
          <w:p>
            <w:pPr>
              <w:spacing w:before="0" w:after="0"/>
              <w:jc w:val="center"/>
            </w:pPr>
            <w:r/>
            <w:r>
              <w:rPr>
                <w:rFonts w:ascii="Calibri" w:hAnsi="Calibri" w:eastAsia="Hiragino Sans GB"/>
                <w:b/>
                <w:color w:val="475569"/>
                <w:sz w:val="18"/>
              </w:rPr>
              <w:t>风险</w:t>
            </w:r>
          </w:p>
        </w:tc>
      </w:tr>
      <w:tr>
        <w:tc>
          <w:tcPr>
            <w:tcW w:type="dxa" w:w="3720"/>
            <w:vAlign w:val="center"/>
          </w:tcPr>
          <w:p>
            <w:pPr>
              <w:spacing w:before="0" w:after="0"/>
            </w:pPr>
            <w:r/>
            <w:r>
              <w:rPr>
                <w:rFonts w:ascii="Calibri" w:hAnsi="Calibri" w:eastAsia="Hiragino Sans GB"/>
                <w:b w:val="0"/>
                <w:color w:val="111827"/>
                <w:sz w:val="17"/>
              </w:rPr>
              <w:t>AI基础设施研究报告：电网设备（变压器/开关柜）产能瓶颈分析</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54.5</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2026年6月16日半导体压力测试：芯片能效能否补上AI电力缺口？</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半导体与存储</w:t>
            </w:r>
          </w:p>
        </w:tc>
        <w:tc>
          <w:tcPr>
            <w:tcW w:type="dxa" w:w="900"/>
            <w:vAlign w:val="center"/>
          </w:tcPr>
          <w:p>
            <w:pPr>
              <w:spacing w:before="0" w:after="0"/>
              <w:jc w:val="center"/>
            </w:pPr>
            <w:r/>
            <w:r>
              <w:rPr>
                <w:rFonts w:ascii="Calibri" w:hAnsi="Calibri" w:eastAsia="Hiragino Sans GB"/>
                <w:b/>
                <w:color w:val="111827"/>
                <w:sz w:val="17"/>
              </w:rPr>
              <w:t>53.8</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第05号研究记录 — AI电力设备供应链的物理上限</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52.5</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电力与电网已成为 AI 芯片部署的约束性瓶颈</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52.5</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电网侧EHV变压器与并网瓶颈：AI算力扩张的物理上限约束分析 (2026-2027)</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52.4</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AI算力扩张与物理壁垒：A股“瓶颈租金”链条的估值重估与风格轮动前沿</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52.0</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公用事业分析师前序研究 — 2026-06-16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51.6</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AI算力落地的变压器与电力撬块产能压力测试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51.5</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美国公用事业通胀压力测试：天然气与电力价格结构性上行对核心通胀与美联储降息路径的压制效应评估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51.4</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AI电力冲击与美国通胀粘性 - 2026-06-16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51.4</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电力价格冲击与电网瓶颈对AI算力集群TCO及科技巨头估值的压力测试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50.8</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 算力扩张与电力电网瓶颈 — 2026-06-16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50.3</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能源供给侧的结构性短缺：基荷电力能否支撑AI算力爆发？</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50.2</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前序研究 — 2026-06-16 压力测试：2029年前变压器与关键电网设备供应链</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49.9</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滞胀挤压与 AI 算力基建约束下的全球大类资产配置与 A 股风格轮动</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49.5</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2026-06-16 工业制造压力测试：全球变压器超级周期下的中国电力装备出海</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49.2</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电网扩容与变压器供应链：核电与基荷资产的“通电”瓶颈</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49.0</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AI 资本开支压力测试：芯片能效提升 vs. 电力电网瓶颈 (2026-06-16)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48.9</w:t>
            </w:r>
          </w:p>
        </w:tc>
        <w:tc>
          <w:tcPr>
            <w:tcW w:type="dxa" w:w="1500"/>
            <w:vAlign w:val="center"/>
          </w:tcPr>
          <w:p>
            <w:pPr>
              <w:spacing w:before="0" w:after="0"/>
              <w:jc w:val="center"/>
            </w:pPr>
            <w:r/>
            <w:r>
              <w:rPr>
                <w:rFonts w:ascii="Calibri" w:hAnsi="Calibri" w:eastAsia="Hiragino Sans GB"/>
                <w:b w:val="0"/>
                <w:color w:val="111827"/>
                <w:sz w:val="16"/>
              </w:rPr>
              <w:t>风险 3</w:t>
            </w:r>
          </w:p>
        </w:tc>
      </w:tr>
    </w:tbl>
    <w:p>
      <w:pPr>
        <w:spacing w:before="0" w:after="160" w:line="264" w:lineRule="auto"/>
      </w:pPr>
      <w:r>
        <w:rPr>
          <w:rFonts w:ascii="Calibri" w:hAnsi="Calibri" w:eastAsia="Hiragino Sans GB"/>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iragino Sans GB"/>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iragino Sans GB"/>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iragino Sans GB"/>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iragino Sans GB"/>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612786f21113" TargetMode="External"/><Relationship Id="rId13" Type="http://schemas.openxmlformats.org/officeDocument/2006/relationships/hyperlink" Target="reports/archive-6984a39e382c" TargetMode="External"/><Relationship Id="rId14" Type="http://schemas.openxmlformats.org/officeDocument/2006/relationships/hyperlink" Target="reports/archive-cc80f8f1e6b0"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dad89f76226d" TargetMode="External"/><Relationship Id="rId20" Type="http://schemas.openxmlformats.org/officeDocument/2006/relationships/hyperlink" Target="reports/archive-651195bd0a3a" TargetMode="External"/><Relationship Id="rId21" Type="http://schemas.openxmlformats.org/officeDocument/2006/relationships/hyperlink" Target="reports/archive-9aeec803202a" TargetMode="External"/><Relationship Id="rId22" Type="http://schemas.openxmlformats.org/officeDocument/2006/relationships/hyperlink" Target="reports/archive-456254fe61f3" TargetMode="External"/><Relationship Id="rId23" Type="http://schemas.openxmlformats.org/officeDocument/2006/relationships/hyperlink" Target="reports/archive-761e5aa92ce4" TargetMode="External"/><Relationship Id="rId24" Type="http://schemas.openxmlformats.org/officeDocument/2006/relationships/hyperlink" Target="reports/archive-6921ecb4fc86" TargetMode="External"/><Relationship Id="rId25" Type="http://schemas.openxmlformats.org/officeDocument/2006/relationships/hyperlink" Target="reports/archive-ac04d2c9cf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2026-06-16</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