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eiti T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eiti TC"/>
          <w:b w:val="0"/>
          <w:i w:val="0"/>
        </w:rPr>
        <w:t>2026-06-21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eiti T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eiti TC"/>
          <w:b w:val="0"/>
          <w:i w:val="0"/>
          <w:color w:val="334155"/>
          <w:sz w:val="22"/>
        </w:rPr>
        <w:t>2026-06-21 共纳入 213 篇中文研究结果，覆盖 1 位活跃分析师和 6 条主要行业链，较 2026-06-20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eiti TC"/>
                <w:b/>
                <w:color w:val="285B9D"/>
                <w:sz w:val="36"/>
              </w:rPr>
              <w:t>213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eiti TC"/>
                <w:b/>
                <w:color w:val="237A5B"/>
                <w:sz w:val="36"/>
              </w:rPr>
              <w:t>1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eiti TC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eiti T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21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eiti TC" w:ascii="Calibri" w:hAnsi="Calibri"/>
          </w:rPr>
          <w:t>电网设备紧缺与 AI 算力交付延迟风险 是今日最高权重结论，核心证据来自 未识别，关联 AI 基础设施。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变化信号: </w:t>
      </w:r>
      <w:r>
        <w:rPr>
          <w:rFonts w:ascii="Calibri" w:hAnsi="Calibri" w:eastAsia="Heiti TC"/>
          <w:color w:val="111827"/>
          <w:sz w:val="21"/>
        </w:rPr>
        <w:t>宏观 今日 升温，当日计数 196，前一日计数 144。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eiti TC" w:ascii="Calibri" w:hAnsi="Calibri"/>
          </w:rPr>
          <w:t>风险矩阵最需要跟踪的是 工业供给瓶颈：2026-06-20 半导体压力测试：电网交付约束下的 AI 芯片架构。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eiti TC" w:ascii="Calibri" w:hAnsi="Calibri"/>
          </w:rPr>
          <w:t>宏观通胀传导 今日 201 条、近七日 1526 条，风险信号 1119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eiti T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eiti T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21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21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21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21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1. 电网设备紧缺与 AI 算力交付延迟风险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59.8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工作日期：2026-06-21（Asia/Singapore；已由 shell 确认）。本报告压力测试 prior research notes的结论：变压器与电网设备紧缺对设备商是重定价 backlog，但对 Hyperscaler 是把 AI capex 转...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eiti TC" w:ascii="Calibri" w:hAnsi="Calibri"/>
          </w:rPr>
          <w:t>reports/archive-b3f704863398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2. 电网设备墙是否比芯片更早成为AI的“物理硬约束”？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工业供给瓶颈 · score 56.8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研究记录 - 分析师： 工业制造分析师（industrials-analyst） - 工作日： 2026-06-21（亚洲/新加坡） - 立场： 压力测试（针对“变压器交期 160周=AI的关键硬约束”这一说法） - 任务问题： 变...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eiti TC" w:ascii="Calibri" w:hAnsi="Calibri"/>
          </w:rPr>
          <w:t>reports/archive-0824ba068337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3. GOES、铜与电工材料：变压器瓶颈的材料端缓释阀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工业供给瓶颈 · score 56.5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研究院工作日期：2026-06-21 分析师： 材料行业分析师（ materials-analyst ） 本报告立场： 支持，但加入材料端修正：中国/A股材料产能可以缓解中国和第三国供应链的变压器瓶颈，却不能在关税...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eiti TC" w:ascii="Calibri" w:hAnsi="Calibri"/>
          </w:rPr>
          <w:t>reports/archive-329845f8ad85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4. 电力设备交付周期对AI算力集群部署进度的传导效应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54.7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权威基准日期： 2026-06-21 (新加坡) 分析师： AI基础设施分析师 (ID: ai-infrastructure-analyst ) 立场： 支持 (Support，确认由电网侧核心电力设备交付瓶颈导致的2027年后超大规模AI算力集群...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eiti TC" w:ascii="Calibri" w:hAnsi="Calibri"/>
          </w:rPr>
          <w:t>reports/archive-b220d980234b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5. 电网与核电供应链压力测试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电力与电网 · score 54.6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工作日期：2026-06-21（Asia/Singapore；已由 shell 确认）。本报告压力测试 prior research notes对“电网赋能者”的超配判断：2026-30 年电网投资和核电建设是否会遭遇电力设备与关键部件短缺...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eiti TC" w:ascii="Calibri" w:hAnsi="Calibri"/>
          </w:rPr>
          <w:t>reports/archive-a4ad5a15347b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6. 美国AI数据中心电力瓶颈：核电直供转型与电网并网接入困局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电力与电网 · score 54.5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报告日期： 2026-06-21 作者： AI基础设施分析师 ( ai-infrastructure-analyst ) 研究会话ID： c10afdc8-f845-47c5-87e6-d35e754123f2 研究记录索引： 01/10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eiti TC" w:ascii="Calibri" w:hAnsi="Calibri"/>
          </w:rPr>
          <w:t>reports/archive-5c5ae992112d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2026-06-20 半导体压力测试：电网交付约束下的 AI 芯片架构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工业供给瓶颈，影响 5 / 概率 3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eiti TC" w:ascii="Calibri" w:hAnsi="Calibri"/>
          </w:rPr>
          <w:t>reports/archive-3c4c82a3cb4b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终审质量审计：AI至电网基础设施白皮书 — 2026-06-18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1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eiti TC" w:ascii="Calibri" w:hAnsi="Calibri"/>
          </w:rPr>
          <w:t>reports/archive-9906cc6fde45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AI 基础设施资本开支与电网吸纳能力错配风险（2026-06-19）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电力与电网，影响 5 / 概率 5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eiti TC" w:ascii="Calibri" w:hAnsi="Calibri"/>
          </w:rPr>
          <w:t>reports/archive-d48a735316c1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电网设备紧缺与 AI 算力交付延迟风险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59.8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电网设备墙是否比芯片更早成为AI的“物理硬约束”？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56.8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GOES、铜与电工材料：变压器瓶颈的材料端缓释阀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56.5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电力设备交付周期对AI算力集群部署进度的传导效应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54.7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电网与核电供应链压力测试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54.6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美国AI数据中心电力瓶颈：核电直供转型与电网并网接入困局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54.5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电网关键设备供应瓶颈：变压器交付压力如何重塑 GE Vernova 与 Eaton 的订单积压与产能扩张版图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54.5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AI算力基础设施部署：先进封装瓶颈对GPU集群扩张及电力需求的影响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54.3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研究记录 10 电网约束压力测试：特高压变压器供应链瓶颈对AI基础设施建设的制约分析 (2026-2030)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53.7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4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特高压与HVDC扩产能否缓解AI算力的电力瓶颈？——电网密度对数据中心极端负载的压力测试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51.8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电网扩容瓶颈与电力基础设施供应韧性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51.4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电网容量瓶颈与配电侧供应风险：对AI基础设施扩建物理速度上限的压力测试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51.1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全球贸易壁垒对变压器供应链的二次约束与AI基础设施扩张风险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50.8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前序研究 — 电力压力对 CoWoS 及高端 AI 芯片产能扩张的制约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GLP-1 多肽产能扩建：对能源、电力负荷与材料需求的联动传导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50.1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WFE与核心材料交付周期：是AI算力的新型结构性瓶颈，还是排在封装与电网之后的"第四个时钟"？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电网扩容瓶颈：变压器供应、并网队列与配电网络压力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49.8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2026-06-21 压力测试：新能源、特高压与储能能否化解算力—工业电力错配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49.8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eiti T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eiti T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eiti T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eiti T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eiti T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eiti T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b3f704863398" TargetMode="External"/><Relationship Id="rId13" Type="http://schemas.openxmlformats.org/officeDocument/2006/relationships/hyperlink" Target="reports/archive-3c4c82a3cb4b" TargetMode="External"/><Relationship Id="rId14" Type="http://schemas.openxmlformats.org/officeDocument/2006/relationships/hyperlink" Target="reports/archive-8920a3054474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0824ba068337" TargetMode="External"/><Relationship Id="rId20" Type="http://schemas.openxmlformats.org/officeDocument/2006/relationships/hyperlink" Target="reports/archive-329845f8ad85" TargetMode="External"/><Relationship Id="rId21" Type="http://schemas.openxmlformats.org/officeDocument/2006/relationships/hyperlink" Target="reports/archive-b220d980234b" TargetMode="External"/><Relationship Id="rId22" Type="http://schemas.openxmlformats.org/officeDocument/2006/relationships/hyperlink" Target="reports/archive-a4ad5a15347b" TargetMode="External"/><Relationship Id="rId23" Type="http://schemas.openxmlformats.org/officeDocument/2006/relationships/hyperlink" Target="reports/archive-5c5ae992112d" TargetMode="External"/><Relationship Id="rId24" Type="http://schemas.openxmlformats.org/officeDocument/2006/relationships/hyperlink" Target="reports/archive-9906cc6fde45" TargetMode="External"/><Relationship Id="rId25" Type="http://schemas.openxmlformats.org/officeDocument/2006/relationships/hyperlink" Target="reports/archive-d48a735316c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2026-06-21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