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Calibri" w:hAnsi="Calibri" w:eastAsia="Heiti TC"/>
          <w:b/>
          <w:i w:val="0"/>
          <w:color w:val="285B9D"/>
          <w:sz w:val="20"/>
        </w:rPr>
        <w:t>AI Institute</w:t>
      </w:r>
    </w:p>
    <w:p>
      <w:pPr>
        <w:pStyle w:val="Title"/>
        <w:spacing w:before="0" w:after="80" w:line="264" w:lineRule="auto"/>
      </w:pPr>
      <w:r>
        <w:rPr>
          <w:rFonts w:ascii="Calibri" w:hAnsi="Calibri" w:eastAsia="Heiti TC"/>
          <w:b w:val="0"/>
          <w:i w:val="0"/>
        </w:rPr>
        <w:t>每日投资研究简报</w:t>
      </w:r>
    </w:p>
    <w:p>
      <w:pPr>
        <w:pStyle w:val="Subtitle"/>
        <w:spacing w:before="0" w:after="240" w:line="264" w:lineRule="auto"/>
      </w:pPr>
      <w:r>
        <w:rPr>
          <w:rFonts w:ascii="Calibri" w:hAnsi="Calibri" w:eastAsia="Heiti TC"/>
          <w:b w:val="0"/>
          <w:i w:val="0"/>
        </w:rPr>
        <w:t>2026-06-06 · webpage screenshot DOCX edition</w:t>
      </w:r>
    </w:p>
    <w:p>
      <w:pPr>
        <w:spacing w:before="0" w:after="160" w:line="264" w:lineRule="auto"/>
      </w:pPr>
      <w:r>
        <w:rPr>
          <w:rFonts w:ascii="Calibri" w:hAnsi="Calibri" w:eastAsia="Heiti TC"/>
          <w:b/>
          <w:i w:val="0"/>
          <w:color w:val="0B2545"/>
          <w:sz w:val="34"/>
        </w:rPr>
        <w:t>宏观通胀传导仍是今日主线，AI 基础设施提供第二层验证。</w:t>
      </w:r>
    </w:p>
    <w:p>
      <w:pPr>
        <w:spacing w:before="0" w:after="240" w:line="264" w:lineRule="auto"/>
      </w:pPr>
      <w:r>
        <w:rPr>
          <w:rFonts w:ascii="Calibri" w:hAnsi="Calibri" w:eastAsia="Heiti TC"/>
          <w:b w:val="0"/>
          <w:i w:val="0"/>
          <w:color w:val="334155"/>
          <w:sz w:val="22"/>
        </w:rPr>
        <w:t>2026-06-06 共纳入 180 篇中文研究结果，覆盖 11 位活跃分析师和 6 条主要行业链，较 2026-06-05 的主题变化可在右侧动量表中核对。简报优先呈现可被报告链接追溯的结论，而不是孤立摘要。</w:t>
      </w:r>
    </w:p>
    <w:tbl>
      <w:tblPr>
        <w:tblW w:type="dxa" w:w="9360"/>
        <w:jc w:val="left"/>
        <w:tblLayout w:type="fixed"/>
        <w:tblLook w:firstColumn="1" w:firstRow="1" w:lastColumn="0" w:lastRow="0" w:noHBand="0" w:noVBand="1" w:val="04A0"/>
      </w:tblPr>
      <w:tblGrid>
        <w:gridCol w:w="2340"/>
        <w:gridCol w:w="2340"/>
        <w:gridCol w:w="2340"/>
        <w:gridCol w:w="2340"/>
      </w:tblGrid>
      <w:tr>
        <w:tc>
          <w:tcPr>
            <w:tcW w:type="dxa" w:w="2340"/>
            <w:vAlign w:val="center"/>
            <w:shd w:fill="F8FAFC"/>
          </w:tcPr>
          <w:p>
            <w:pPr>
              <w:spacing w:after="40"/>
            </w:pPr>
            <w:r>
              <w:rPr>
                <w:rFonts w:ascii="Calibri" w:hAnsi="Calibri" w:eastAsia="Heiti TC"/>
                <w:b/>
                <w:color w:val="667085"/>
                <w:sz w:val="17"/>
              </w:rPr>
              <w:t>今日报告</w:t>
              <w:br/>
            </w:r>
            <w:r>
              <w:rPr>
                <w:rFonts w:ascii="Calibri" w:hAnsi="Calibri" w:eastAsia="Heiti TC"/>
                <w:b/>
                <w:color w:val="285B9D"/>
                <w:sz w:val="36"/>
              </w:rPr>
              <w:t>180</w:t>
            </w:r>
          </w:p>
        </w:tc>
        <w:tc>
          <w:tcPr>
            <w:tcW w:type="dxa" w:w="2340"/>
            <w:vAlign w:val="center"/>
            <w:shd w:fill="F8FAFC"/>
          </w:tcPr>
          <w:p>
            <w:pPr>
              <w:spacing w:after="40"/>
            </w:pPr>
            <w:r>
              <w:rPr>
                <w:rFonts w:ascii="Calibri" w:hAnsi="Calibri" w:eastAsia="Heiti TC"/>
                <w:b/>
                <w:color w:val="667085"/>
                <w:sz w:val="17"/>
              </w:rPr>
              <w:t>活跃分析师</w:t>
              <w:br/>
            </w:r>
            <w:r>
              <w:rPr>
                <w:rFonts w:ascii="Calibri" w:hAnsi="Calibri" w:eastAsia="Heiti TC"/>
                <w:b/>
                <w:color w:val="237A5B"/>
                <w:sz w:val="36"/>
              </w:rPr>
              <w:t>11</w:t>
            </w:r>
          </w:p>
        </w:tc>
        <w:tc>
          <w:tcPr>
            <w:tcW w:type="dxa" w:w="2340"/>
            <w:vAlign w:val="center"/>
            <w:shd w:fill="F8FAFC"/>
          </w:tcPr>
          <w:p>
            <w:pPr>
              <w:spacing w:after="40"/>
            </w:pPr>
            <w:r>
              <w:rPr>
                <w:rFonts w:ascii="Calibri" w:hAnsi="Calibri" w:eastAsia="Heiti TC"/>
                <w:b/>
                <w:color w:val="667085"/>
                <w:sz w:val="17"/>
              </w:rPr>
              <w:t>活跃链条</w:t>
              <w:br/>
            </w:r>
            <w:r>
              <w:rPr>
                <w:rFonts w:ascii="Calibri" w:hAnsi="Calibri" w:eastAsia="Heiti TC"/>
                <w:b/>
                <w:color w:val="A8731B"/>
                <w:sz w:val="36"/>
              </w:rPr>
              <w:t>6</w:t>
            </w:r>
          </w:p>
        </w:tc>
        <w:tc>
          <w:tcPr>
            <w:tcW w:type="dxa" w:w="2340"/>
            <w:vAlign w:val="center"/>
            <w:shd w:fill="F8FAFC"/>
          </w:tcPr>
          <w:p>
            <w:pPr>
              <w:spacing w:after="40"/>
            </w:pPr>
            <w:r>
              <w:rPr>
                <w:rFonts w:ascii="Calibri" w:hAnsi="Calibri" w:eastAsia="Heiti TC"/>
                <w:b/>
                <w:color w:val="667085"/>
                <w:sz w:val="17"/>
              </w:rPr>
              <w:t>风险信号</w:t>
              <w:br/>
            </w:r>
            <w:r>
              <w:rPr>
                <w:rFonts w:ascii="Calibri" w:hAnsi="Calibri" w:eastAsia="Heiti TC"/>
                <w:b/>
                <w:color w:val="B43D49"/>
                <w:sz w:val="36"/>
              </w:rPr>
              <w:t>16</w:t>
            </w:r>
          </w:p>
        </w:tc>
      </w:tr>
    </w:tbl>
    <w:p>
      <w:pPr>
        <w:spacing w:before="0" w:after="160" w:line="264" w:lineRule="auto"/>
      </w:pPr>
    </w:p>
    <w:p>
      <w:pPr>
        <w:spacing w:before="40" w:after="60"/>
        <w:jc w:val="center"/>
      </w:pPr>
      <w:r>
        <w:drawing>
          <wp:inline xmlns:a="http://schemas.openxmlformats.org/drawingml/2006/main" xmlns:pic="http://schemas.openxmlformats.org/drawingml/2006/picture">
            <wp:extent cx="5806440" cy="3870960"/>
            <wp:docPr id="1" name="Picture 1"/>
            <wp:cNvGraphicFramePr>
              <a:graphicFrameLocks noChangeAspect="1"/>
            </wp:cNvGraphicFramePr>
            <a:graphic>
              <a:graphicData uri="http://schemas.openxmlformats.org/drawingml/2006/picture">
                <pic:pic>
                  <pic:nvPicPr>
                    <pic:cNvPr id="0" name="daily-brief-2026-06-06-web-summary.png"/>
                    <pic:cNvPicPr/>
                  </pic:nvPicPr>
                  <pic:blipFill>
                    <a:blip r:embed="rId11"/>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Heiti TC"/>
          <w:b w:val="0"/>
          <w:i/>
          <w:color w:val="667085"/>
          <w:sz w:val="17"/>
        </w:rPr>
        <w:t>Figure 1. Webpage snapshot of the daily synthesis and key operating metrics.</w:t>
      </w:r>
    </w:p>
    <w:p>
      <w:pPr>
        <w:pStyle w:val="Heading1"/>
      </w:pPr>
      <w:r>
        <w:t>1. 综合研判</w:t>
      </w:r>
    </w:p>
    <w:p>
      <w:pPr>
        <w:spacing w:after="140"/>
        <w:ind w:left="259" w:hanging="259"/>
      </w:pPr>
      <w:r>
        <w:rPr>
          <w:rFonts w:ascii="Calibri" w:hAnsi="Calibri" w:eastAsia="Heiti TC"/>
          <w:b/>
          <w:color w:val="285B9D"/>
          <w:sz w:val="21"/>
        </w:rPr>
        <w:t xml:space="preserve">主线判断: </w:t>
      </w:r>
      <w:hyperlink r:id="rId12">
        <w:r>
          <w:rPr>
            <w:color w:val="285B9D"/>
            <w:u w:val="single"/>
            <w:rFonts w:eastAsia="Heiti TC" w:ascii="Calibri" w:hAnsi="Calibri"/>
          </w:rPr>
          <w:t>电力监管成本向 AI 芯片与云厂商 CAPEX 的传导 是今日最高权重结论，核心证据来自 未识别，关联 AI 基础设施。</w:t>
        </w:r>
      </w:hyperlink>
    </w:p>
    <w:p>
      <w:pPr>
        <w:spacing w:after="140"/>
        <w:ind w:left="259" w:hanging="259"/>
      </w:pPr>
      <w:r>
        <w:rPr>
          <w:rFonts w:ascii="Calibri" w:hAnsi="Calibri" w:eastAsia="Heiti TC"/>
          <w:b/>
          <w:color w:val="285B9D"/>
          <w:sz w:val="21"/>
        </w:rPr>
        <w:t xml:space="preserve">变化信号: </w:t>
      </w:r>
      <w:r>
        <w:rPr>
          <w:rFonts w:ascii="Calibri" w:hAnsi="Calibri" w:eastAsia="Heiti TC"/>
          <w:color w:val="111827"/>
          <w:sz w:val="21"/>
        </w:rPr>
        <w:t>宏观 今日 降温，当日计数 137，前一日计数 225。</w:t>
      </w:r>
    </w:p>
    <w:p>
      <w:pPr>
        <w:spacing w:after="140"/>
        <w:ind w:left="259" w:hanging="259"/>
      </w:pPr>
      <w:r>
        <w:rPr>
          <w:rFonts w:ascii="Calibri" w:hAnsi="Calibri" w:eastAsia="Heiti TC"/>
          <w:b/>
          <w:color w:val="285B9D"/>
          <w:sz w:val="21"/>
        </w:rPr>
        <w:t xml:space="preserve">风险焦点: </w:t>
      </w:r>
      <w:hyperlink r:id="rId13">
        <w:r>
          <w:rPr>
            <w:color w:val="285B9D"/>
            <w:u w:val="single"/>
            <w:rFonts w:eastAsia="Heiti TC" w:ascii="Calibri" w:hAnsi="Calibri"/>
          </w:rPr>
          <w:t>风险矩阵最需要跟踪的是 工业供给瓶颈：变压器与开关柜瓶颈：AI数据中心的节奏将由硅钢卷而非硅晶圆决定。</w:t>
        </w:r>
      </w:hyperlink>
    </w:p>
    <w:p>
      <w:pPr>
        <w:spacing w:after="140"/>
        <w:ind w:left="259" w:hanging="259"/>
      </w:pPr>
      <w:r>
        <w:rPr>
          <w:rFonts w:ascii="Calibri" w:hAnsi="Calibri" w:eastAsia="Heiti TC"/>
          <w:b/>
          <w:color w:val="285B9D"/>
          <w:sz w:val="21"/>
        </w:rPr>
        <w:t xml:space="preserve">证据密度: </w:t>
      </w:r>
      <w:hyperlink r:id="rId14">
        <w:r>
          <w:rPr>
            <w:color w:val="285B9D"/>
            <w:u w:val="single"/>
            <w:rFonts w:eastAsia="Heiti TC" w:ascii="Calibri" w:hAnsi="Calibri"/>
          </w:rPr>
          <w:t>宏观通胀传导 今日 154 条、近七日 1807 条，风险信号 1242 条。</w:t>
        </w:r>
      </w:hyperlink>
    </w:p>
    <w:tbl>
      <w:tblPr>
        <w:tblW w:type="dxa" w:w="9360"/>
        <w:jc w:val="left"/>
        <w:tblLayout w:type="fixed"/>
        <w:tblLook w:firstColumn="1" w:firstRow="1" w:lastColumn="0" w:lastRow="0" w:noHBand="0" w:noVBand="1" w:val="04A0"/>
      </w:tblPr>
      <w:tblGrid>
        <w:gridCol w:w="9360"/>
      </w:tblGrid>
      <w:tr>
        <w:tc>
          <w:tcPr>
            <w:tcW w:type="dxa" w:w="9360"/>
            <w:vAlign w:val="center"/>
            <w:shd w:fill="FFF7E6"/>
          </w:tcPr>
          <w:p>
            <w:r>
              <w:rPr>
                <w:rFonts w:ascii="Calibri" w:hAnsi="Calibri" w:eastAsia="Heiti TC"/>
                <w:b/>
                <w:color w:val="7A5A00"/>
                <w:sz w:val="21"/>
              </w:rPr>
              <w:t xml:space="preserve">投资解读: </w:t>
            </w:r>
            <w:r>
              <w:rPr>
                <w:rFonts w:ascii="Calibri" w:hAnsi="Calibri" w:eastAsia="Heiti TC"/>
                <w:color w:val="7C2D12"/>
                <w:sz w:val="21"/>
              </w:rPr>
              <w:t>投资含义上，本日简报更适合作为主题和风险筛选器：先看行业链雷达确认资金关注方向，再用风险矩阵排除证据不足或约束过强的交易表达。</w:t>
            </w:r>
          </w:p>
        </w:tc>
      </w:tr>
    </w:tbl>
    <w:p>
      <w:pPr>
        <w:spacing w:before="0" w:after="120" w:line="264" w:lineRule="auto"/>
      </w:pPr>
    </w:p>
    <w:p>
      <w:pPr>
        <w:pStyle w:val="Heading1"/>
      </w:pPr>
      <w:r>
        <w:t>2. 可视化仪表板</w:t>
      </w:r>
    </w:p>
    <w:p>
      <w:pPr>
        <w:spacing w:before="40" w:after="60"/>
        <w:jc w:val="center"/>
      </w:pPr>
      <w:r>
        <w:drawing>
          <wp:inline xmlns:a="http://schemas.openxmlformats.org/drawingml/2006/main" xmlns:pic="http://schemas.openxmlformats.org/drawingml/2006/picture">
            <wp:extent cx="5806440" cy="3870960"/>
            <wp:docPr id="2" name="Picture 2"/>
            <wp:cNvGraphicFramePr>
              <a:graphicFrameLocks noChangeAspect="1"/>
            </wp:cNvGraphicFramePr>
            <a:graphic>
              <a:graphicData uri="http://schemas.openxmlformats.org/drawingml/2006/picture">
                <pic:pic>
                  <pic:nvPicPr>
                    <pic:cNvPr id="0" name="daily-brief-2026-06-06-web-trend.png"/>
                    <pic:cNvPicPr/>
                  </pic:nvPicPr>
                  <pic:blipFill>
                    <a:blip r:embed="rId15"/>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Heiti TC"/>
          <w:b w:val="0"/>
          <w:i/>
          <w:color w:val="667085"/>
          <w:sz w:val="17"/>
        </w:rPr>
        <w:t>Figure 2. Webpage snapshot of topic momentum and daily change signals.</w:t>
      </w:r>
    </w:p>
    <w:p>
      <w:pPr>
        <w:spacing w:before="40" w:after="60"/>
        <w:jc w:val="center"/>
      </w:pPr>
      <w:r>
        <w:drawing>
          <wp:inline xmlns:a="http://schemas.openxmlformats.org/drawingml/2006/main" xmlns:pic="http://schemas.openxmlformats.org/drawingml/2006/picture">
            <wp:extent cx="5806440" cy="3870960"/>
            <wp:docPr id="3" name="Picture 3"/>
            <wp:cNvGraphicFramePr>
              <a:graphicFrameLocks noChangeAspect="1"/>
            </wp:cNvGraphicFramePr>
            <a:graphic>
              <a:graphicData uri="http://schemas.openxmlformats.org/drawingml/2006/picture">
                <pic:pic>
                  <pic:nvPicPr>
                    <pic:cNvPr id="0" name="daily-brief-2026-06-06-web-chains.png"/>
                    <pic:cNvPicPr/>
                  </pic:nvPicPr>
                  <pic:blipFill>
                    <a:blip r:embed="rId16"/>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Heiti TC"/>
          <w:b w:val="0"/>
          <w:i/>
          <w:color w:val="667085"/>
          <w:sz w:val="17"/>
        </w:rPr>
        <w:t>Figure 3. Webpage snapshot of industry-chain heat and evidence links.</w:t>
      </w:r>
    </w:p>
    <w:p>
      <w:r>
        <w:br w:type="page"/>
      </w:r>
    </w:p>
    <w:p>
      <w:pPr>
        <w:spacing w:before="40" w:after="60"/>
        <w:jc w:val="center"/>
      </w:pPr>
      <w:r>
        <w:drawing>
          <wp:inline xmlns:a="http://schemas.openxmlformats.org/drawingml/2006/main" xmlns:pic="http://schemas.openxmlformats.org/drawingml/2006/picture">
            <wp:extent cx="5806440" cy="3870960"/>
            <wp:docPr id="4" name="Picture 4"/>
            <wp:cNvGraphicFramePr>
              <a:graphicFrameLocks noChangeAspect="1"/>
            </wp:cNvGraphicFramePr>
            <a:graphic>
              <a:graphicData uri="http://schemas.openxmlformats.org/drawingml/2006/picture">
                <pic:pic>
                  <pic:nvPicPr>
                    <pic:cNvPr id="0" name="daily-brief-2026-06-06-web-risk.png"/>
                    <pic:cNvPicPr/>
                  </pic:nvPicPr>
                  <pic:blipFill>
                    <a:blip r:embed="rId17"/>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Heiti TC"/>
          <w:b w:val="0"/>
          <w:i/>
          <w:color w:val="667085"/>
          <w:sz w:val="17"/>
        </w:rPr>
        <w:t>Figure 4. Webpage snapshot of the risk matrix and pressure-test items.</w:t>
      </w:r>
    </w:p>
    <w:p>
      <w:r>
        <w:br w:type="page"/>
      </w:r>
    </w:p>
    <w:p>
      <w:pPr>
        <w:spacing w:before="40" w:after="60"/>
        <w:jc w:val="center"/>
      </w:pPr>
      <w:r>
        <w:drawing>
          <wp:inline xmlns:a="http://schemas.openxmlformats.org/drawingml/2006/main" xmlns:pic="http://schemas.openxmlformats.org/drawingml/2006/picture">
            <wp:extent cx="5806440" cy="3870960"/>
            <wp:docPr id="5" name="Picture 5"/>
            <wp:cNvGraphicFramePr>
              <a:graphicFrameLocks noChangeAspect="1"/>
            </wp:cNvGraphicFramePr>
            <a:graphic>
              <a:graphicData uri="http://schemas.openxmlformats.org/drawingml/2006/picture">
                <pic:pic>
                  <pic:nvPicPr>
                    <pic:cNvPr id="0" name="daily-brief-2026-06-06-web-heatmap.png"/>
                    <pic:cNvPicPr/>
                  </pic:nvPicPr>
                  <pic:blipFill>
                    <a:blip r:embed="rId18"/>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Heiti TC"/>
          <w:b w:val="0"/>
          <w:i/>
          <w:color w:val="667085"/>
          <w:sz w:val="17"/>
        </w:rPr>
        <w:t>Figure 5. Webpage snapshot of analyst activity and ranked conclusions.</w:t>
      </w:r>
    </w:p>
    <w:p>
      <w:pPr>
        <w:pStyle w:val="Heading1"/>
      </w:pPr>
      <w:r>
        <w:t>3. 今日核心结论</w:t>
      </w:r>
    </w:p>
    <w:p>
      <w:pPr>
        <w:spacing w:before="0" w:after="40" w:line="264" w:lineRule="auto"/>
      </w:pPr>
      <w:r>
        <w:rPr>
          <w:rFonts w:ascii="Calibri" w:hAnsi="Calibri" w:eastAsia="Heiti TC"/>
          <w:b/>
          <w:i w:val="0"/>
          <w:color w:val="0B2545"/>
          <w:sz w:val="23"/>
        </w:rPr>
        <w:t>1. 电力监管成本向 AI 芯片与云厂商 CAPEX 的传导</w:t>
      </w:r>
    </w:p>
    <w:p>
      <w:pPr>
        <w:spacing w:before="0" w:after="40" w:line="264" w:lineRule="auto"/>
      </w:pPr>
      <w:r>
        <w:rPr>
          <w:rFonts w:ascii="Calibri" w:hAnsi="Calibri" w:eastAsia="Heiti TC"/>
          <w:b w:val="0"/>
          <w:i w:val="0"/>
          <w:color w:val="667085"/>
          <w:sz w:val="17"/>
        </w:rPr>
        <w:t>未识别 · AI 基础设施 · score 56.5</w:t>
      </w:r>
    </w:p>
    <w:p>
      <w:pPr>
        <w:spacing w:before="0" w:after="100" w:line="264" w:lineRule="auto"/>
      </w:pPr>
      <w:r>
        <w:rPr>
          <w:rFonts w:ascii="Calibri" w:hAnsi="Calibri" w:eastAsia="Heiti TC"/>
          <w:b w:val="0"/>
          <w:i w:val="0"/>
          <w:color w:val="334155"/>
          <w:sz w:val="20"/>
        </w:rPr>
        <w:t>研究记录 — TMT 行业分析师 — 立场: stress-test 压力测试 - 工作日期 (Asia/Singapore): 2026-06-06 - 主题: AI算力扩张的能源约束——SB6 (Texas)、PJM 容量/输电费用等电力监管风险如何传...</w:t>
      </w:r>
    </w:p>
    <w:p>
      <w:pPr>
        <w:spacing w:before="0" w:after="160" w:line="264" w:lineRule="auto"/>
      </w:pPr>
      <w:r>
        <w:rPr>
          <w:rFonts w:ascii="Calibri" w:hAnsi="Calibri" w:eastAsia="Heiti TC"/>
          <w:b w:val="0"/>
          <w:i w:val="0"/>
          <w:color w:val="667085"/>
          <w:sz w:val="17"/>
        </w:rPr>
        <w:t xml:space="preserve">Report: </w:t>
      </w:r>
      <w:hyperlink r:id="rId12">
        <w:r>
          <w:rPr>
            <w:color w:val="285B9D"/>
            <w:u w:val="single"/>
            <w:rFonts w:eastAsia="Heiti TC" w:ascii="Calibri" w:hAnsi="Calibri"/>
          </w:rPr>
          <w:t>reports/archive-be8430b1d8b2</w:t>
        </w:r>
      </w:hyperlink>
    </w:p>
    <w:p>
      <w:pPr>
        <w:spacing w:before="0" w:after="40" w:line="264" w:lineRule="auto"/>
      </w:pPr>
      <w:r>
        <w:rPr>
          <w:rFonts w:ascii="Calibri" w:hAnsi="Calibri" w:eastAsia="Heiti TC"/>
          <w:b/>
          <w:i w:val="0"/>
          <w:color w:val="0B2545"/>
          <w:sz w:val="23"/>
        </w:rPr>
        <w:t>2. 2026-06-06 工业制造研究记录08：变压器与开关设备交付周期已成为AI算力瓶颈</w:t>
      </w:r>
    </w:p>
    <w:p>
      <w:pPr>
        <w:spacing w:before="0" w:after="40" w:line="264" w:lineRule="auto"/>
      </w:pPr>
      <w:r>
        <w:rPr>
          <w:rFonts w:ascii="Calibri" w:hAnsi="Calibri" w:eastAsia="Heiti TC"/>
          <w:b w:val="0"/>
          <w:i w:val="0"/>
          <w:color w:val="667085"/>
          <w:sz w:val="17"/>
        </w:rPr>
        <w:t>未识别 · 工业供给瓶颈 · score 56.5</w:t>
      </w:r>
    </w:p>
    <w:p>
      <w:pPr>
        <w:spacing w:before="0" w:after="100" w:line="264" w:lineRule="auto"/>
      </w:pPr>
      <w:r>
        <w:rPr>
          <w:rFonts w:ascii="Calibri" w:hAnsi="Calibri" w:eastAsia="Heiti TC"/>
          <w:b w:val="0"/>
          <w:i w:val="0"/>
          <w:color w:val="334155"/>
          <w:sz w:val="20"/>
        </w:rPr>
        <w:t>2026-06-06 工业制造研究记录08：变压器与开关设备交付周期已成为AI算力瓶颈</w:t>
      </w:r>
    </w:p>
    <w:p>
      <w:pPr>
        <w:spacing w:before="0" w:after="160" w:line="264" w:lineRule="auto"/>
      </w:pPr>
      <w:r>
        <w:rPr>
          <w:rFonts w:ascii="Calibri" w:hAnsi="Calibri" w:eastAsia="Heiti TC"/>
          <w:b w:val="0"/>
          <w:i w:val="0"/>
          <w:color w:val="667085"/>
          <w:sz w:val="17"/>
        </w:rPr>
        <w:t xml:space="preserve">Report: </w:t>
      </w:r>
      <w:hyperlink r:id="rId19">
        <w:r>
          <w:rPr>
            <w:color w:val="285B9D"/>
            <w:u w:val="single"/>
            <w:rFonts w:eastAsia="Heiti TC" w:ascii="Calibri" w:hAnsi="Calibri"/>
          </w:rPr>
          <w:t>reports/archive-852dc4f67265</w:t>
        </w:r>
      </w:hyperlink>
    </w:p>
    <w:p>
      <w:pPr>
        <w:spacing w:before="0" w:after="40" w:line="264" w:lineRule="auto"/>
      </w:pPr>
      <w:r>
        <w:rPr>
          <w:rFonts w:ascii="Calibri" w:hAnsi="Calibri" w:eastAsia="Heiti TC"/>
          <w:b/>
          <w:i w:val="0"/>
          <w:color w:val="0B2545"/>
          <w:sz w:val="23"/>
        </w:rPr>
        <w:t>3. 电网 OEM 关键原材料供应弹性与扩产周期匹配度</w:t>
      </w:r>
    </w:p>
    <w:p>
      <w:pPr>
        <w:spacing w:before="0" w:after="40" w:line="264" w:lineRule="auto"/>
      </w:pPr>
      <w:r>
        <w:rPr>
          <w:rFonts w:ascii="Calibri" w:hAnsi="Calibri" w:eastAsia="Heiti TC"/>
          <w:b w:val="0"/>
          <w:i w:val="0"/>
          <w:color w:val="667085"/>
          <w:sz w:val="17"/>
        </w:rPr>
        <w:t>未识别 · 工业供给瓶颈 · score 54.9</w:t>
      </w:r>
    </w:p>
    <w:p>
      <w:pPr>
        <w:spacing w:before="0" w:after="100" w:line="264" w:lineRule="auto"/>
      </w:pPr>
      <w:r>
        <w:rPr>
          <w:rFonts w:ascii="Calibri" w:hAnsi="Calibri" w:eastAsia="Heiti TC"/>
          <w:b w:val="0"/>
          <w:i w:val="0"/>
          <w:color w:val="334155"/>
          <w:sz w:val="20"/>
        </w:rPr>
        <w:t>板块: 材料 / 电力设备上游 - 分析师: 材料行业分析师 - 日期 (Asia/Singapore): 2026-06-06 - 立场: support（支持 prior research notes关于"交付稀缺受材料瓶颈刚性约束"的判断，并进一步明...</w:t>
      </w:r>
    </w:p>
    <w:p>
      <w:pPr>
        <w:spacing w:before="0" w:after="160" w:line="264" w:lineRule="auto"/>
      </w:pPr>
      <w:r>
        <w:rPr>
          <w:rFonts w:ascii="Calibri" w:hAnsi="Calibri" w:eastAsia="Heiti TC"/>
          <w:b w:val="0"/>
          <w:i w:val="0"/>
          <w:color w:val="667085"/>
          <w:sz w:val="17"/>
        </w:rPr>
        <w:t xml:space="preserve">Report: </w:t>
      </w:r>
      <w:hyperlink r:id="rId20">
        <w:r>
          <w:rPr>
            <w:color w:val="285B9D"/>
            <w:u w:val="single"/>
            <w:rFonts w:eastAsia="Heiti TC" w:ascii="Calibri" w:hAnsi="Calibri"/>
          </w:rPr>
          <w:t>reports/archive-9bb326b17adb</w:t>
        </w:r>
      </w:hyperlink>
    </w:p>
    <w:p>
      <w:pPr>
        <w:spacing w:before="0" w:after="40" w:line="264" w:lineRule="auto"/>
      </w:pPr>
      <w:r>
        <w:rPr>
          <w:rFonts w:ascii="Calibri" w:hAnsi="Calibri" w:eastAsia="Heiti TC"/>
          <w:b/>
          <w:i w:val="0"/>
          <w:color w:val="0B2545"/>
          <w:sz w:val="23"/>
        </w:rPr>
        <w:t>4. 电网设备 OEM 供应链压力测试</w:t>
      </w:r>
    </w:p>
    <w:p>
      <w:pPr>
        <w:spacing w:before="0" w:after="40" w:line="264" w:lineRule="auto"/>
      </w:pPr>
      <w:r>
        <w:rPr>
          <w:rFonts w:ascii="Calibri" w:hAnsi="Calibri" w:eastAsia="Heiti TC"/>
          <w:b w:val="0"/>
          <w:i w:val="0"/>
          <w:color w:val="667085"/>
          <w:sz w:val="17"/>
        </w:rPr>
        <w:t>未识别 · 工业供给瓶颈 · score 50.8</w:t>
      </w:r>
    </w:p>
    <w:p>
      <w:pPr>
        <w:spacing w:before="0" w:after="100" w:line="264" w:lineRule="auto"/>
      </w:pPr>
      <w:r>
        <w:rPr>
          <w:rFonts w:ascii="Calibri" w:hAnsi="Calibri" w:eastAsia="Heiti TC"/>
          <w:b w:val="0"/>
          <w:i w:val="0"/>
          <w:color w:val="334155"/>
          <w:sz w:val="20"/>
        </w:rPr>
        <w:t>分析师：工业制造分析师 - 日期：2026-06-06（Asia/Singapore） - 立场：stress-test - prior research notes/8</w:t>
      </w:r>
    </w:p>
    <w:p>
      <w:pPr>
        <w:spacing w:before="0" w:after="160" w:line="264" w:lineRule="auto"/>
      </w:pPr>
      <w:r>
        <w:rPr>
          <w:rFonts w:ascii="Calibri" w:hAnsi="Calibri" w:eastAsia="Heiti TC"/>
          <w:b w:val="0"/>
          <w:i w:val="0"/>
          <w:color w:val="667085"/>
          <w:sz w:val="17"/>
        </w:rPr>
        <w:t xml:space="preserve">Report: </w:t>
      </w:r>
      <w:hyperlink r:id="rId21">
        <w:r>
          <w:rPr>
            <w:color w:val="285B9D"/>
            <w:u w:val="single"/>
            <w:rFonts w:eastAsia="Heiti TC" w:ascii="Calibri" w:hAnsi="Calibri"/>
          </w:rPr>
          <w:t>reports/archive-69699d2104e5</w:t>
        </w:r>
      </w:hyperlink>
    </w:p>
    <w:p>
      <w:pPr>
        <w:spacing w:before="0" w:after="40" w:line="264" w:lineRule="auto"/>
      </w:pPr>
      <w:r>
        <w:rPr>
          <w:rFonts w:ascii="Calibri" w:hAnsi="Calibri" w:eastAsia="Heiti TC"/>
          <w:b/>
          <w:i w:val="0"/>
          <w:color w:val="0B2545"/>
          <w:sz w:val="23"/>
        </w:rPr>
        <w:t>5. prior research notes: 电力供应结构、电网容量与能源定价机制对AI数据中心FCF的传导机制拆解</w:t>
      </w:r>
    </w:p>
    <w:p>
      <w:pPr>
        <w:spacing w:before="0" w:after="40" w:line="264" w:lineRule="auto"/>
      </w:pPr>
      <w:r>
        <w:rPr>
          <w:rFonts w:ascii="Calibri" w:hAnsi="Calibri" w:eastAsia="Heiti TC"/>
          <w:b w:val="0"/>
          <w:i w:val="0"/>
          <w:color w:val="667085"/>
          <w:sz w:val="17"/>
        </w:rPr>
        <w:t>未识别 · AI 基础设施 · score 47.8</w:t>
      </w:r>
    </w:p>
    <w:p>
      <w:pPr>
        <w:spacing w:before="0" w:after="100" w:line="264" w:lineRule="auto"/>
      </w:pPr>
      <w:r>
        <w:rPr>
          <w:rFonts w:ascii="Calibri" w:hAnsi="Calibri" w:eastAsia="Heiti TC"/>
          <w:b w:val="0"/>
          <w:i w:val="0"/>
          <w:color w:val="334155"/>
          <w:sz w:val="20"/>
        </w:rPr>
        <w:t>prior research notes: 电力供应结构、电网容量与能源定价机制对AI数据中心FCF的传导机制拆解 报告日期： 2026-06-06 分析师： 公用事业分析师 (utilities-analyst) 立场： 支持 (Support)</w:t>
      </w:r>
    </w:p>
    <w:p>
      <w:pPr>
        <w:spacing w:before="0" w:after="160" w:line="264" w:lineRule="auto"/>
      </w:pPr>
      <w:r>
        <w:rPr>
          <w:rFonts w:ascii="Calibri" w:hAnsi="Calibri" w:eastAsia="Heiti TC"/>
          <w:b w:val="0"/>
          <w:i w:val="0"/>
          <w:color w:val="667085"/>
          <w:sz w:val="17"/>
        </w:rPr>
        <w:t xml:space="preserve">Report: </w:t>
      </w:r>
      <w:hyperlink r:id="rId22">
        <w:r>
          <w:rPr>
            <w:color w:val="285B9D"/>
            <w:u w:val="single"/>
            <w:rFonts w:eastAsia="Heiti TC" w:ascii="Calibri" w:hAnsi="Calibri"/>
          </w:rPr>
          <w:t>reports/archive-79003d0fdf4d</w:t>
        </w:r>
      </w:hyperlink>
    </w:p>
    <w:p>
      <w:pPr>
        <w:spacing w:before="0" w:after="40" w:line="264" w:lineRule="auto"/>
      </w:pPr>
      <w:r>
        <w:rPr>
          <w:rFonts w:ascii="Calibri" w:hAnsi="Calibri" w:eastAsia="Heiti TC"/>
          <w:b/>
          <w:i w:val="0"/>
          <w:color w:val="0B2545"/>
          <w:sz w:val="23"/>
        </w:rPr>
        <w:t>6. 2026-06-06 2026 H2 AIDC 电力现货价差压力测试</w:t>
      </w:r>
    </w:p>
    <w:p>
      <w:pPr>
        <w:spacing w:before="0" w:after="40" w:line="264" w:lineRule="auto"/>
      </w:pPr>
      <w:r>
        <w:rPr>
          <w:rFonts w:ascii="Calibri" w:hAnsi="Calibri" w:eastAsia="Heiti TC"/>
          <w:b w:val="0"/>
          <w:i w:val="0"/>
          <w:color w:val="667085"/>
          <w:sz w:val="17"/>
        </w:rPr>
        <w:t>未识别 · AI 基础设施 · score 47.0</w:t>
      </w:r>
    </w:p>
    <w:p>
      <w:pPr>
        <w:spacing w:before="0" w:after="100" w:line="264" w:lineRule="auto"/>
      </w:pPr>
      <w:r>
        <w:rPr>
          <w:rFonts w:ascii="Calibri" w:hAnsi="Calibri" w:eastAsia="Heiti TC"/>
          <w:b w:val="0"/>
          <w:i w:val="0"/>
          <w:color w:val="334155"/>
          <w:sz w:val="20"/>
        </w:rPr>
        <w:t>工作日：2026-06-06，Asia/Singapore。本报告从 TMT 侧压力测试前序公用事业链条判断：现货价差扩大有利于调节性资产重估，但不能自动等同于 AI 数据中心（AIDC）用能风险被完全对冲，因为 AI...</w:t>
      </w:r>
    </w:p>
    <w:p>
      <w:pPr>
        <w:spacing w:before="0" w:after="160" w:line="264" w:lineRule="auto"/>
      </w:pPr>
      <w:r>
        <w:rPr>
          <w:rFonts w:ascii="Calibri" w:hAnsi="Calibri" w:eastAsia="Heiti TC"/>
          <w:b w:val="0"/>
          <w:i w:val="0"/>
          <w:color w:val="667085"/>
          <w:sz w:val="17"/>
        </w:rPr>
        <w:t xml:space="preserve">Report: </w:t>
      </w:r>
      <w:hyperlink r:id="rId23">
        <w:r>
          <w:rPr>
            <w:color w:val="285B9D"/>
            <w:u w:val="single"/>
            <w:rFonts w:eastAsia="Heiti TC" w:ascii="Calibri" w:hAnsi="Calibri"/>
          </w:rPr>
          <w:t>reports/archive-9b8725242c9d</w:t>
        </w:r>
      </w:hyperlink>
    </w:p>
    <w:p>
      <w:pPr>
        <w:pStyle w:val="Heading1"/>
      </w:pPr>
      <w:r>
        <w:t>4. 重点跟踪事项</w:t>
      </w:r>
    </w:p>
    <w:p>
      <w:pPr>
        <w:spacing w:before="0" w:after="40" w:line="264" w:lineRule="auto"/>
      </w:pPr>
      <w:r>
        <w:rPr>
          <w:rFonts w:ascii="Calibri" w:hAnsi="Calibri" w:eastAsia="Heiti TC"/>
          <w:b/>
          <w:i w:val="0"/>
          <w:color w:val="0B2545"/>
          <w:sz w:val="22"/>
        </w:rPr>
        <w:t>变压器与开关柜瓶颈：AI数据中心的节奏将由硅钢卷而非硅晶圆决定</w:t>
      </w:r>
    </w:p>
    <w:p>
      <w:pPr>
        <w:spacing w:before="0" w:after="60" w:line="264" w:lineRule="auto"/>
      </w:pPr>
      <w:r>
        <w:rPr>
          <w:rFonts w:ascii="Calibri" w:hAnsi="Calibri" w:eastAsia="Heiti TC"/>
          <w:b w:val="0"/>
          <w:i w:val="0"/>
          <w:color w:val="334155"/>
          <w:sz w:val="20"/>
        </w:rPr>
        <w:t>工业供给瓶颈，影响 5 / 概率 3</w:t>
      </w:r>
    </w:p>
    <w:p>
      <w:pPr>
        <w:spacing w:before="0" w:after="160" w:line="264" w:lineRule="auto"/>
      </w:pPr>
      <w:r>
        <w:rPr>
          <w:rFonts w:ascii="Calibri" w:hAnsi="Calibri" w:eastAsia="Heiti TC"/>
          <w:b w:val="0"/>
          <w:i w:val="0"/>
          <w:color w:val="667085"/>
          <w:sz w:val="17"/>
        </w:rPr>
        <w:t xml:space="preserve">Report: </w:t>
      </w:r>
      <w:hyperlink r:id="rId13">
        <w:r>
          <w:rPr>
            <w:color w:val="285B9D"/>
            <w:u w:val="single"/>
            <w:rFonts w:eastAsia="Heiti TC" w:ascii="Calibri" w:hAnsi="Calibri"/>
          </w:rPr>
          <w:t>reports/archive-1ba0209b8947</w:t>
        </w:r>
      </w:hyperlink>
    </w:p>
    <w:p>
      <w:pPr>
        <w:spacing w:before="0" w:after="40" w:line="264" w:lineRule="auto"/>
      </w:pPr>
      <w:r>
        <w:rPr>
          <w:rFonts w:ascii="Calibri" w:hAnsi="Calibri" w:eastAsia="Heiti TC"/>
          <w:b/>
          <w:i w:val="0"/>
          <w:color w:val="0B2545"/>
          <w:sz w:val="22"/>
        </w:rPr>
        <w:t>电力监管成本向 AI 芯片与云厂商 CAPEX 的传导</w:t>
      </w:r>
    </w:p>
    <w:p>
      <w:pPr>
        <w:spacing w:before="0" w:after="60" w:line="264" w:lineRule="auto"/>
      </w:pPr>
      <w:r>
        <w:rPr>
          <w:rFonts w:ascii="Calibri" w:hAnsi="Calibri" w:eastAsia="Heiti TC"/>
          <w:b w:val="0"/>
          <w:i w:val="0"/>
          <w:color w:val="334155"/>
          <w:sz w:val="20"/>
        </w:rPr>
        <w:t>AI 基础设施，影响 5 / 概率 5</w:t>
      </w:r>
    </w:p>
    <w:p>
      <w:pPr>
        <w:spacing w:before="0" w:after="160" w:line="264" w:lineRule="auto"/>
      </w:pPr>
      <w:r>
        <w:rPr>
          <w:rFonts w:ascii="Calibri" w:hAnsi="Calibri" w:eastAsia="Heiti TC"/>
          <w:b w:val="0"/>
          <w:i w:val="0"/>
          <w:color w:val="667085"/>
          <w:sz w:val="17"/>
        </w:rPr>
        <w:t xml:space="preserve">Report: </w:t>
      </w:r>
      <w:hyperlink r:id="rId12">
        <w:r>
          <w:rPr>
            <w:color w:val="285B9D"/>
            <w:u w:val="single"/>
            <w:rFonts w:eastAsia="Heiti TC" w:ascii="Calibri" w:hAnsi="Calibri"/>
          </w:rPr>
          <w:t>reports/archive-be8430b1d8b2</w:t>
        </w:r>
      </w:hyperlink>
    </w:p>
    <w:p>
      <w:pPr>
        <w:spacing w:before="0" w:after="40" w:line="264" w:lineRule="auto"/>
      </w:pPr>
      <w:r>
        <w:rPr>
          <w:rFonts w:ascii="Calibri" w:hAnsi="Calibri" w:eastAsia="Heiti TC"/>
          <w:b/>
          <w:i w:val="0"/>
          <w:color w:val="0B2545"/>
          <w:sz w:val="22"/>
        </w:rPr>
        <w:t>2026-06-06 工业制造研究记录08：变压器与开关设备交付周期已成为AI算力瓶颈</w:t>
      </w:r>
    </w:p>
    <w:p>
      <w:pPr>
        <w:spacing w:before="0" w:after="60" w:line="264" w:lineRule="auto"/>
      </w:pPr>
      <w:r>
        <w:rPr>
          <w:rFonts w:ascii="Calibri" w:hAnsi="Calibri" w:eastAsia="Heiti TC"/>
          <w:b w:val="0"/>
          <w:i w:val="0"/>
          <w:color w:val="334155"/>
          <w:sz w:val="20"/>
        </w:rPr>
        <w:t>工业供给瓶颈，影响 5 / 概率 4</w:t>
      </w:r>
    </w:p>
    <w:p>
      <w:pPr>
        <w:spacing w:before="0" w:after="160" w:line="264" w:lineRule="auto"/>
      </w:pPr>
      <w:r>
        <w:rPr>
          <w:rFonts w:ascii="Calibri" w:hAnsi="Calibri" w:eastAsia="Heiti TC"/>
          <w:b w:val="0"/>
          <w:i w:val="0"/>
          <w:color w:val="667085"/>
          <w:sz w:val="17"/>
        </w:rPr>
        <w:t xml:space="preserve">Report: </w:t>
      </w:r>
      <w:hyperlink r:id="rId19">
        <w:r>
          <w:rPr>
            <w:color w:val="285B9D"/>
            <w:u w:val="single"/>
            <w:rFonts w:eastAsia="Heiti TC" w:ascii="Calibri" w:hAnsi="Calibri"/>
          </w:rPr>
          <w:t>reports/archive-852dc4f67265</w:t>
        </w:r>
      </w:hyperlink>
    </w:p>
    <w:p>
      <w:pPr>
        <w:pStyle w:val="Heading1"/>
      </w:pPr>
      <w:r>
        <w:t>5. 证据表</w:t>
      </w:r>
    </w:p>
    <w:tbl>
      <w:tblPr>
        <w:tblW w:type="dxa" w:w="9360"/>
        <w:jc w:val="left"/>
        <w:tblLayout w:type="fixed"/>
        <w:tblLook w:firstColumn="1" w:firstRow="1" w:lastColumn="0" w:lastRow="0" w:noHBand="0" w:noVBand="1" w:val="04A0"/>
      </w:tblPr>
      <w:tblGrid>
        <w:gridCol w:w="3720"/>
        <w:gridCol w:w="1560"/>
        <w:gridCol w:w="1680"/>
        <w:gridCol w:w="900"/>
        <w:gridCol w:w="1500"/>
      </w:tblGrid>
      <w:tr>
        <w:tc>
          <w:tcPr>
            <w:tcW w:type="dxa" w:w="3720"/>
            <w:vAlign w:val="center"/>
            <w:shd w:fill="F2F4F7"/>
          </w:tcPr>
          <w:p>
            <w:pPr>
              <w:spacing w:before="0" w:after="0"/>
              <w:jc w:val="center"/>
            </w:pPr>
            <w:r/>
            <w:r>
              <w:rPr>
                <w:rFonts w:ascii="Calibri" w:hAnsi="Calibri" w:eastAsia="Heiti TC"/>
                <w:b/>
                <w:color w:val="475569"/>
                <w:sz w:val="18"/>
              </w:rPr>
              <w:t>报告</w:t>
            </w:r>
          </w:p>
        </w:tc>
        <w:tc>
          <w:tcPr>
            <w:tcW w:type="dxa" w:w="1560"/>
            <w:vAlign w:val="center"/>
            <w:shd w:fill="F2F4F7"/>
          </w:tcPr>
          <w:p>
            <w:pPr>
              <w:spacing w:before="0" w:after="0"/>
              <w:jc w:val="center"/>
            </w:pPr>
            <w:r/>
            <w:r>
              <w:rPr>
                <w:rFonts w:ascii="Calibri" w:hAnsi="Calibri" w:eastAsia="Heiti TC"/>
                <w:b/>
                <w:color w:val="475569"/>
                <w:sz w:val="18"/>
              </w:rPr>
              <w:t>分析师</w:t>
            </w:r>
          </w:p>
        </w:tc>
        <w:tc>
          <w:tcPr>
            <w:tcW w:type="dxa" w:w="1680"/>
            <w:vAlign w:val="center"/>
            <w:shd w:fill="F2F4F7"/>
          </w:tcPr>
          <w:p>
            <w:pPr>
              <w:spacing w:before="0" w:after="0"/>
              <w:jc w:val="center"/>
            </w:pPr>
            <w:r/>
            <w:r>
              <w:rPr>
                <w:rFonts w:ascii="Calibri" w:hAnsi="Calibri" w:eastAsia="Heiti TC"/>
                <w:b/>
                <w:color w:val="475569"/>
                <w:sz w:val="18"/>
              </w:rPr>
              <w:t>行业链</w:t>
            </w:r>
          </w:p>
        </w:tc>
        <w:tc>
          <w:tcPr>
            <w:tcW w:type="dxa" w:w="900"/>
            <w:vAlign w:val="center"/>
            <w:shd w:fill="F2F4F7"/>
          </w:tcPr>
          <w:p>
            <w:pPr>
              <w:spacing w:before="0" w:after="0"/>
              <w:jc w:val="center"/>
            </w:pPr>
            <w:r/>
            <w:r>
              <w:rPr>
                <w:rFonts w:ascii="Calibri" w:hAnsi="Calibri" w:eastAsia="Heiti TC"/>
                <w:b/>
                <w:color w:val="475569"/>
                <w:sz w:val="18"/>
              </w:rPr>
              <w:t>评分</w:t>
            </w:r>
          </w:p>
        </w:tc>
        <w:tc>
          <w:tcPr>
            <w:tcW w:type="dxa" w:w="1500"/>
            <w:vAlign w:val="center"/>
            <w:shd w:fill="F2F4F7"/>
          </w:tcPr>
          <w:p>
            <w:pPr>
              <w:spacing w:before="0" w:after="0"/>
              <w:jc w:val="center"/>
            </w:pPr>
            <w:r/>
            <w:r>
              <w:rPr>
                <w:rFonts w:ascii="Calibri" w:hAnsi="Calibri" w:eastAsia="Heiti TC"/>
                <w:b/>
                <w:color w:val="475569"/>
                <w:sz w:val="18"/>
              </w:rPr>
              <w:t>风险</w:t>
            </w:r>
          </w:p>
        </w:tc>
      </w:tr>
      <w:tr>
        <w:tc>
          <w:tcPr>
            <w:tcW w:type="dxa" w:w="3720"/>
            <w:vAlign w:val="center"/>
          </w:tcPr>
          <w:p>
            <w:pPr>
              <w:spacing w:before="0" w:after="0"/>
            </w:pPr>
            <w:r/>
            <w:r>
              <w:rPr>
                <w:rFonts w:ascii="Calibri" w:hAnsi="Calibri" w:eastAsia="Heiti TC"/>
                <w:b w:val="0"/>
                <w:color w:val="111827"/>
                <w:sz w:val="17"/>
              </w:rPr>
              <w:t>电力监管成本向 AI 芯片与云厂商 CAPEX 的传导</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AI 基础设施</w:t>
            </w:r>
          </w:p>
        </w:tc>
        <w:tc>
          <w:tcPr>
            <w:tcW w:type="dxa" w:w="900"/>
            <w:vAlign w:val="center"/>
          </w:tcPr>
          <w:p>
            <w:pPr>
              <w:spacing w:before="0" w:after="0"/>
              <w:jc w:val="center"/>
            </w:pPr>
            <w:r/>
            <w:r>
              <w:rPr>
                <w:rFonts w:ascii="Calibri" w:hAnsi="Calibri" w:eastAsia="Heiti TC"/>
                <w:b/>
                <w:color w:val="111827"/>
                <w:sz w:val="17"/>
              </w:rPr>
              <w:t>56.5</w:t>
            </w:r>
          </w:p>
        </w:tc>
        <w:tc>
          <w:tcPr>
            <w:tcW w:type="dxa" w:w="1500"/>
            <w:vAlign w:val="center"/>
          </w:tcPr>
          <w:p>
            <w:pPr>
              <w:spacing w:before="0" w:after="0"/>
              <w:jc w:val="center"/>
            </w:pPr>
            <w:r/>
            <w:r>
              <w:rPr>
                <w:rFonts w:ascii="Calibri" w:hAnsi="Calibri" w:eastAsia="Heiti TC"/>
                <w:b w:val="0"/>
                <w:color w:val="111827"/>
                <w:sz w:val="16"/>
              </w:rPr>
              <w:t>风险 4</w:t>
            </w:r>
          </w:p>
        </w:tc>
      </w:tr>
      <w:tr>
        <w:tc>
          <w:tcPr>
            <w:tcW w:type="dxa" w:w="3720"/>
            <w:vAlign w:val="center"/>
          </w:tcPr>
          <w:p>
            <w:pPr>
              <w:spacing w:before="0" w:after="0"/>
            </w:pPr>
            <w:r/>
            <w:r>
              <w:rPr>
                <w:rFonts w:ascii="Calibri" w:hAnsi="Calibri" w:eastAsia="Heiti TC"/>
                <w:b w:val="0"/>
                <w:color w:val="111827"/>
                <w:sz w:val="17"/>
              </w:rPr>
              <w:t>2026-06-06 工业制造研究记录08：变压器与开关设备交付周期已成为AI算力瓶颈</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工业供给瓶颈</w:t>
            </w:r>
          </w:p>
        </w:tc>
        <w:tc>
          <w:tcPr>
            <w:tcW w:type="dxa" w:w="900"/>
            <w:vAlign w:val="center"/>
          </w:tcPr>
          <w:p>
            <w:pPr>
              <w:spacing w:before="0" w:after="0"/>
              <w:jc w:val="center"/>
            </w:pPr>
            <w:r/>
            <w:r>
              <w:rPr>
                <w:rFonts w:ascii="Calibri" w:hAnsi="Calibri" w:eastAsia="Heiti TC"/>
                <w:b/>
                <w:color w:val="111827"/>
                <w:sz w:val="17"/>
              </w:rPr>
              <w:t>56.5</w:t>
            </w:r>
          </w:p>
        </w:tc>
        <w:tc>
          <w:tcPr>
            <w:tcW w:type="dxa" w:w="1500"/>
            <w:vAlign w:val="center"/>
          </w:tcPr>
          <w:p>
            <w:pPr>
              <w:spacing w:before="0" w:after="0"/>
              <w:jc w:val="center"/>
            </w:pPr>
            <w:r/>
            <w:r>
              <w:rPr>
                <w:rFonts w:ascii="Calibri" w:hAnsi="Calibri" w:eastAsia="Heiti TC"/>
                <w:b w:val="0"/>
                <w:color w:val="111827"/>
                <w:sz w:val="16"/>
              </w:rPr>
              <w:t>风险 2</w:t>
            </w:r>
          </w:p>
        </w:tc>
      </w:tr>
      <w:tr>
        <w:tc>
          <w:tcPr>
            <w:tcW w:type="dxa" w:w="3720"/>
            <w:vAlign w:val="center"/>
          </w:tcPr>
          <w:p>
            <w:pPr>
              <w:spacing w:before="0" w:after="0"/>
            </w:pPr>
            <w:r/>
            <w:r>
              <w:rPr>
                <w:rFonts w:ascii="Calibri" w:hAnsi="Calibri" w:eastAsia="Heiti TC"/>
                <w:b w:val="0"/>
                <w:color w:val="111827"/>
                <w:sz w:val="17"/>
              </w:rPr>
              <w:t>电网 OEM 关键原材料供应弹性与扩产周期匹配度</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工业供给瓶颈</w:t>
            </w:r>
          </w:p>
        </w:tc>
        <w:tc>
          <w:tcPr>
            <w:tcW w:type="dxa" w:w="900"/>
            <w:vAlign w:val="center"/>
          </w:tcPr>
          <w:p>
            <w:pPr>
              <w:spacing w:before="0" w:after="0"/>
              <w:jc w:val="center"/>
            </w:pPr>
            <w:r/>
            <w:r>
              <w:rPr>
                <w:rFonts w:ascii="Calibri" w:hAnsi="Calibri" w:eastAsia="Heiti TC"/>
                <w:b/>
                <w:color w:val="111827"/>
                <w:sz w:val="17"/>
              </w:rPr>
              <w:t>54.9</w:t>
            </w:r>
          </w:p>
        </w:tc>
        <w:tc>
          <w:tcPr>
            <w:tcW w:type="dxa" w:w="1500"/>
            <w:vAlign w:val="center"/>
          </w:tcPr>
          <w:p>
            <w:pPr>
              <w:spacing w:before="0" w:after="0"/>
              <w:jc w:val="center"/>
            </w:pPr>
            <w:r/>
            <w:r>
              <w:rPr>
                <w:rFonts w:ascii="Calibri" w:hAnsi="Calibri" w:eastAsia="Heiti TC"/>
                <w:b w:val="0"/>
                <w:color w:val="111827"/>
                <w:sz w:val="16"/>
              </w:rPr>
              <w:t>风险 2</w:t>
            </w:r>
          </w:p>
        </w:tc>
      </w:tr>
      <w:tr>
        <w:tc>
          <w:tcPr>
            <w:tcW w:type="dxa" w:w="3720"/>
            <w:vAlign w:val="center"/>
          </w:tcPr>
          <w:p>
            <w:pPr>
              <w:spacing w:before="0" w:after="0"/>
            </w:pPr>
            <w:r/>
            <w:r>
              <w:rPr>
                <w:rFonts w:ascii="Calibri" w:hAnsi="Calibri" w:eastAsia="Heiti TC"/>
                <w:b w:val="0"/>
                <w:color w:val="111827"/>
                <w:sz w:val="17"/>
              </w:rPr>
              <w:t>电网设备 OEM 供应链压力测试</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工业供给瓶颈</w:t>
            </w:r>
          </w:p>
        </w:tc>
        <w:tc>
          <w:tcPr>
            <w:tcW w:type="dxa" w:w="900"/>
            <w:vAlign w:val="center"/>
          </w:tcPr>
          <w:p>
            <w:pPr>
              <w:spacing w:before="0" w:after="0"/>
              <w:jc w:val="center"/>
            </w:pPr>
            <w:r/>
            <w:r>
              <w:rPr>
                <w:rFonts w:ascii="Calibri" w:hAnsi="Calibri" w:eastAsia="Heiti TC"/>
                <w:b/>
                <w:color w:val="111827"/>
                <w:sz w:val="17"/>
              </w:rPr>
              <w:t>50.8</w:t>
            </w:r>
          </w:p>
        </w:tc>
        <w:tc>
          <w:tcPr>
            <w:tcW w:type="dxa" w:w="1500"/>
            <w:vAlign w:val="center"/>
          </w:tcPr>
          <w:p>
            <w:pPr>
              <w:spacing w:before="0" w:after="0"/>
              <w:jc w:val="center"/>
            </w:pPr>
            <w:r/>
            <w:r>
              <w:rPr>
                <w:rFonts w:ascii="Calibri" w:hAnsi="Calibri" w:eastAsia="Heiti TC"/>
                <w:b w:val="0"/>
                <w:color w:val="111827"/>
                <w:sz w:val="16"/>
              </w:rPr>
              <w:t>风险 2</w:t>
            </w:r>
          </w:p>
        </w:tc>
      </w:tr>
      <w:tr>
        <w:tc>
          <w:tcPr>
            <w:tcW w:type="dxa" w:w="3720"/>
            <w:vAlign w:val="center"/>
          </w:tcPr>
          <w:p>
            <w:pPr>
              <w:spacing w:before="0" w:after="0"/>
            </w:pPr>
            <w:r/>
            <w:r>
              <w:rPr>
                <w:rFonts w:ascii="Calibri" w:hAnsi="Calibri" w:eastAsia="Heiti TC"/>
                <w:b w:val="0"/>
                <w:color w:val="111827"/>
                <w:sz w:val="17"/>
              </w:rPr>
              <w:t>prior research notes: 电力供应结构、电网容量与能源定价机制对AI数据中心FCF的传导机制拆解</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AI 基础设施</w:t>
            </w:r>
          </w:p>
        </w:tc>
        <w:tc>
          <w:tcPr>
            <w:tcW w:type="dxa" w:w="900"/>
            <w:vAlign w:val="center"/>
          </w:tcPr>
          <w:p>
            <w:pPr>
              <w:spacing w:before="0" w:after="0"/>
              <w:jc w:val="center"/>
            </w:pPr>
            <w:r/>
            <w:r>
              <w:rPr>
                <w:rFonts w:ascii="Calibri" w:hAnsi="Calibri" w:eastAsia="Heiti TC"/>
                <w:b/>
                <w:color w:val="111827"/>
                <w:sz w:val="17"/>
              </w:rPr>
              <w:t>47.8</w:t>
            </w:r>
          </w:p>
        </w:tc>
        <w:tc>
          <w:tcPr>
            <w:tcW w:type="dxa" w:w="1500"/>
            <w:vAlign w:val="center"/>
          </w:tcPr>
          <w:p>
            <w:pPr>
              <w:spacing w:before="0" w:after="0"/>
              <w:jc w:val="center"/>
            </w:pPr>
            <w:r/>
            <w:r>
              <w:rPr>
                <w:rFonts w:ascii="Calibri" w:hAnsi="Calibri" w:eastAsia="Heiti TC"/>
                <w:b w:val="0"/>
                <w:color w:val="111827"/>
                <w:sz w:val="16"/>
              </w:rPr>
              <w:t>风险 1</w:t>
            </w:r>
          </w:p>
        </w:tc>
      </w:tr>
      <w:tr>
        <w:tc>
          <w:tcPr>
            <w:tcW w:type="dxa" w:w="3720"/>
            <w:vAlign w:val="center"/>
          </w:tcPr>
          <w:p>
            <w:pPr>
              <w:spacing w:before="0" w:after="0"/>
            </w:pPr>
            <w:r/>
            <w:r>
              <w:rPr>
                <w:rFonts w:ascii="Calibri" w:hAnsi="Calibri" w:eastAsia="Heiti TC"/>
                <w:b w:val="0"/>
                <w:color w:val="111827"/>
                <w:sz w:val="17"/>
              </w:rPr>
              <w:t>2026-06-06 2026 H2 AIDC 电力现货价差压力测试</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AI 基础设施</w:t>
            </w:r>
          </w:p>
        </w:tc>
        <w:tc>
          <w:tcPr>
            <w:tcW w:type="dxa" w:w="900"/>
            <w:vAlign w:val="center"/>
          </w:tcPr>
          <w:p>
            <w:pPr>
              <w:spacing w:before="0" w:after="0"/>
              <w:jc w:val="center"/>
            </w:pPr>
            <w:r/>
            <w:r>
              <w:rPr>
                <w:rFonts w:ascii="Calibri" w:hAnsi="Calibri" w:eastAsia="Heiti TC"/>
                <w:b/>
                <w:color w:val="111827"/>
                <w:sz w:val="17"/>
              </w:rPr>
              <w:t>47.0</w:t>
            </w:r>
          </w:p>
        </w:tc>
        <w:tc>
          <w:tcPr>
            <w:tcW w:type="dxa" w:w="1500"/>
            <w:vAlign w:val="center"/>
          </w:tcPr>
          <w:p>
            <w:pPr>
              <w:spacing w:before="0" w:after="0"/>
              <w:jc w:val="center"/>
            </w:pPr>
            <w:r/>
            <w:r>
              <w:rPr>
                <w:rFonts w:ascii="Calibri" w:hAnsi="Calibri" w:eastAsia="Heiti TC"/>
                <w:b w:val="0"/>
                <w:color w:val="111827"/>
                <w:sz w:val="16"/>
              </w:rPr>
              <w:t>风险 2</w:t>
            </w:r>
          </w:p>
        </w:tc>
      </w:tr>
      <w:tr>
        <w:tc>
          <w:tcPr>
            <w:tcW w:type="dxa" w:w="3720"/>
            <w:vAlign w:val="center"/>
          </w:tcPr>
          <w:p>
            <w:pPr>
              <w:spacing w:before="0" w:after="0"/>
            </w:pPr>
            <w:r/>
            <w:r>
              <w:rPr>
                <w:rFonts w:ascii="Calibri" w:hAnsi="Calibri" w:eastAsia="Heiti TC"/>
                <w:b w:val="0"/>
                <w:color w:val="111827"/>
                <w:sz w:val="17"/>
              </w:rPr>
              <w:t>2026-06-06 AIDC 负荷增长对调节性电力资产配置的影响</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AI 基础设施</w:t>
            </w:r>
          </w:p>
        </w:tc>
        <w:tc>
          <w:tcPr>
            <w:tcW w:type="dxa" w:w="900"/>
            <w:vAlign w:val="center"/>
          </w:tcPr>
          <w:p>
            <w:pPr>
              <w:spacing w:before="0" w:after="0"/>
              <w:jc w:val="center"/>
            </w:pPr>
            <w:r/>
            <w:r>
              <w:rPr>
                <w:rFonts w:ascii="Calibri" w:hAnsi="Calibri" w:eastAsia="Heiti TC"/>
                <w:b/>
                <w:color w:val="111827"/>
                <w:sz w:val="17"/>
              </w:rPr>
              <w:t>46.9</w:t>
            </w:r>
          </w:p>
        </w:tc>
        <w:tc>
          <w:tcPr>
            <w:tcW w:type="dxa" w:w="1500"/>
            <w:vAlign w:val="center"/>
          </w:tcPr>
          <w:p>
            <w:pPr>
              <w:spacing w:before="0" w:after="0"/>
              <w:jc w:val="center"/>
            </w:pPr>
            <w:r/>
            <w:r>
              <w:rPr>
                <w:rFonts w:ascii="Calibri" w:hAnsi="Calibri" w:eastAsia="Heiti TC"/>
                <w:b w:val="0"/>
                <w:color w:val="111827"/>
                <w:sz w:val="16"/>
              </w:rPr>
              <w:t>风险 2</w:t>
            </w:r>
          </w:p>
        </w:tc>
      </w:tr>
      <w:tr>
        <w:tc>
          <w:tcPr>
            <w:tcW w:type="dxa" w:w="3720"/>
            <w:vAlign w:val="center"/>
          </w:tcPr>
          <w:p>
            <w:pPr>
              <w:spacing w:before="0" w:after="0"/>
            </w:pPr>
            <w:r/>
            <w:r>
              <w:rPr>
                <w:rFonts w:ascii="Calibri" w:hAnsi="Calibri" w:eastAsia="Heiti TC"/>
                <w:b w:val="0"/>
                <w:color w:val="111827"/>
                <w:sz w:val="17"/>
              </w:rPr>
              <w:t>AI电力瓶颈成为硬件利润率变量后的跨行业配置与最终投资策略研究</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AI 基础设施</w:t>
            </w:r>
          </w:p>
        </w:tc>
        <w:tc>
          <w:tcPr>
            <w:tcW w:type="dxa" w:w="900"/>
            <w:vAlign w:val="center"/>
          </w:tcPr>
          <w:p>
            <w:pPr>
              <w:spacing w:before="0" w:after="0"/>
              <w:jc w:val="center"/>
            </w:pPr>
            <w:r/>
            <w:r>
              <w:rPr>
                <w:rFonts w:ascii="Calibri" w:hAnsi="Calibri" w:eastAsia="Heiti TC"/>
                <w:b/>
                <w:color w:val="111827"/>
                <w:sz w:val="17"/>
              </w:rPr>
              <w:t>45.9</w:t>
            </w:r>
          </w:p>
        </w:tc>
        <w:tc>
          <w:tcPr>
            <w:tcW w:type="dxa" w:w="1500"/>
            <w:vAlign w:val="center"/>
          </w:tcPr>
          <w:p>
            <w:pPr>
              <w:spacing w:before="0" w:after="0"/>
              <w:jc w:val="center"/>
            </w:pPr>
            <w:r/>
            <w:r>
              <w:rPr>
                <w:rFonts w:ascii="Calibri" w:hAnsi="Calibri" w:eastAsia="Heiti TC"/>
                <w:b w:val="0"/>
                <w:color w:val="111827"/>
                <w:sz w:val="16"/>
              </w:rPr>
              <w:t>风险 1</w:t>
            </w:r>
          </w:p>
        </w:tc>
      </w:tr>
      <w:tr>
        <w:tc>
          <w:tcPr>
            <w:tcW w:type="dxa" w:w="3720"/>
            <w:vAlign w:val="center"/>
          </w:tcPr>
          <w:p>
            <w:pPr>
              <w:spacing w:before="0" w:after="0"/>
            </w:pPr>
            <w:r/>
            <w:r>
              <w:rPr>
                <w:rFonts w:ascii="Calibri" w:hAnsi="Calibri" w:eastAsia="Heiti TC"/>
                <w:b w:val="0"/>
                <w:color w:val="111827"/>
                <w:sz w:val="17"/>
              </w:rPr>
              <w:t>2026-06-06 AI电力约束下的美股风格轮动</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AI 基础设施</w:t>
            </w:r>
          </w:p>
        </w:tc>
        <w:tc>
          <w:tcPr>
            <w:tcW w:type="dxa" w:w="900"/>
            <w:vAlign w:val="center"/>
          </w:tcPr>
          <w:p>
            <w:pPr>
              <w:spacing w:before="0" w:after="0"/>
              <w:jc w:val="center"/>
            </w:pPr>
            <w:r/>
            <w:r>
              <w:rPr>
                <w:rFonts w:ascii="Calibri" w:hAnsi="Calibri" w:eastAsia="Heiti TC"/>
                <w:b/>
                <w:color w:val="111827"/>
                <w:sz w:val="17"/>
              </w:rPr>
              <w:t>45.6</w:t>
            </w:r>
          </w:p>
        </w:tc>
        <w:tc>
          <w:tcPr>
            <w:tcW w:type="dxa" w:w="1500"/>
            <w:vAlign w:val="center"/>
          </w:tcPr>
          <w:p>
            <w:pPr>
              <w:spacing w:before="0" w:after="0"/>
              <w:jc w:val="center"/>
            </w:pPr>
            <w:r/>
            <w:r>
              <w:rPr>
                <w:rFonts w:ascii="Calibri" w:hAnsi="Calibri" w:eastAsia="Heiti TC"/>
                <w:b w:val="0"/>
                <w:color w:val="111827"/>
                <w:sz w:val="16"/>
              </w:rPr>
              <w:t>风险 1</w:t>
            </w:r>
          </w:p>
        </w:tc>
      </w:tr>
      <w:tr>
        <w:tc>
          <w:tcPr>
            <w:tcW w:type="dxa" w:w="3720"/>
            <w:vAlign w:val="center"/>
          </w:tcPr>
          <w:p>
            <w:pPr>
              <w:spacing w:before="0" w:after="0"/>
            </w:pPr>
            <w:r/>
            <w:r>
              <w:rPr>
                <w:rFonts w:ascii="Calibri" w:hAnsi="Calibri" w:eastAsia="Heiti TC"/>
                <w:b w:val="0"/>
                <w:color w:val="111827"/>
                <w:sz w:val="17"/>
              </w:rPr>
              <w:t>工业制造压力测试：AIDC 液冷、HVDC 与源网荷储核心组件</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宏观通胀传导</w:t>
            </w:r>
          </w:p>
        </w:tc>
        <w:tc>
          <w:tcPr>
            <w:tcW w:type="dxa" w:w="900"/>
            <w:vAlign w:val="center"/>
          </w:tcPr>
          <w:p>
            <w:pPr>
              <w:spacing w:before="0" w:after="0"/>
              <w:jc w:val="center"/>
            </w:pPr>
            <w:r/>
            <w:r>
              <w:rPr>
                <w:rFonts w:ascii="Calibri" w:hAnsi="Calibri" w:eastAsia="Heiti TC"/>
                <w:b/>
                <w:color w:val="111827"/>
                <w:sz w:val="17"/>
              </w:rPr>
              <w:t>45.4</w:t>
            </w:r>
          </w:p>
        </w:tc>
        <w:tc>
          <w:tcPr>
            <w:tcW w:type="dxa" w:w="1500"/>
            <w:vAlign w:val="center"/>
          </w:tcPr>
          <w:p>
            <w:pPr>
              <w:spacing w:before="0" w:after="0"/>
              <w:jc w:val="center"/>
            </w:pPr>
            <w:r/>
            <w:r>
              <w:rPr>
                <w:rFonts w:ascii="Calibri" w:hAnsi="Calibri" w:eastAsia="Heiti TC"/>
                <w:b w:val="0"/>
                <w:color w:val="111827"/>
                <w:sz w:val="16"/>
              </w:rPr>
              <w:t>风险 2</w:t>
            </w:r>
          </w:p>
        </w:tc>
      </w:tr>
      <w:tr>
        <w:tc>
          <w:tcPr>
            <w:tcW w:type="dxa" w:w="3720"/>
            <w:vAlign w:val="center"/>
          </w:tcPr>
          <w:p>
            <w:pPr>
              <w:spacing w:before="0" w:after="0"/>
            </w:pPr>
            <w:r/>
            <w:r>
              <w:rPr>
                <w:rFonts w:ascii="Calibri" w:hAnsi="Calibri" w:eastAsia="Heiti TC"/>
                <w:b w:val="0"/>
                <w:color w:val="111827"/>
                <w:sz w:val="17"/>
              </w:rPr>
              <w:t>AI 应用端 ROI 瓶颈与"推理税"的可持续性压力测试</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AI 基础设施</w:t>
            </w:r>
          </w:p>
        </w:tc>
        <w:tc>
          <w:tcPr>
            <w:tcW w:type="dxa" w:w="900"/>
            <w:vAlign w:val="center"/>
          </w:tcPr>
          <w:p>
            <w:pPr>
              <w:spacing w:before="0" w:after="0"/>
              <w:jc w:val="center"/>
            </w:pPr>
            <w:r/>
            <w:r>
              <w:rPr>
                <w:rFonts w:ascii="Calibri" w:hAnsi="Calibri" w:eastAsia="Heiti TC"/>
                <w:b/>
                <w:color w:val="111827"/>
                <w:sz w:val="17"/>
              </w:rPr>
              <w:t>45.0</w:t>
            </w:r>
          </w:p>
        </w:tc>
        <w:tc>
          <w:tcPr>
            <w:tcW w:type="dxa" w:w="1500"/>
            <w:vAlign w:val="center"/>
          </w:tcPr>
          <w:p>
            <w:pPr>
              <w:spacing w:before="0" w:after="0"/>
              <w:jc w:val="center"/>
            </w:pPr>
            <w:r/>
            <w:r>
              <w:rPr>
                <w:rFonts w:ascii="Calibri" w:hAnsi="Calibri" w:eastAsia="Heiti TC"/>
                <w:b w:val="0"/>
                <w:color w:val="111827"/>
                <w:sz w:val="16"/>
              </w:rPr>
              <w:t>风险 2</w:t>
            </w:r>
          </w:p>
        </w:tc>
      </w:tr>
      <w:tr>
        <w:tc>
          <w:tcPr>
            <w:tcW w:type="dxa" w:w="3720"/>
            <w:vAlign w:val="center"/>
          </w:tcPr>
          <w:p>
            <w:pPr>
              <w:spacing w:before="0" w:after="0"/>
            </w:pPr>
            <w:r/>
            <w:r>
              <w:rPr>
                <w:rFonts w:ascii="Calibri" w:hAnsi="Calibri" w:eastAsia="Heiti TC"/>
                <w:b w:val="0"/>
                <w:color w:val="111827"/>
                <w:sz w:val="17"/>
              </w:rPr>
              <w:t>调研报告：智算中心“能源适配”背后的工业设备供应链</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工业供给瓶颈</w:t>
            </w:r>
          </w:p>
        </w:tc>
        <w:tc>
          <w:tcPr>
            <w:tcW w:type="dxa" w:w="900"/>
            <w:vAlign w:val="center"/>
          </w:tcPr>
          <w:p>
            <w:pPr>
              <w:spacing w:before="0" w:after="0"/>
              <w:jc w:val="center"/>
            </w:pPr>
            <w:r/>
            <w:r>
              <w:rPr>
                <w:rFonts w:ascii="Calibri" w:hAnsi="Calibri" w:eastAsia="Heiti TC"/>
                <w:b/>
                <w:color w:val="111827"/>
                <w:sz w:val="17"/>
              </w:rPr>
              <w:t>44.9</w:t>
            </w:r>
          </w:p>
        </w:tc>
        <w:tc>
          <w:tcPr>
            <w:tcW w:type="dxa" w:w="1500"/>
            <w:vAlign w:val="center"/>
          </w:tcPr>
          <w:p>
            <w:pPr>
              <w:spacing w:before="0" w:after="0"/>
              <w:jc w:val="center"/>
            </w:pPr>
            <w:r/>
            <w:r>
              <w:rPr>
                <w:rFonts w:ascii="Calibri" w:hAnsi="Calibri" w:eastAsia="Heiti TC"/>
                <w:b w:val="0"/>
                <w:color w:val="111827"/>
                <w:sz w:val="16"/>
              </w:rPr>
              <w:t>常规</w:t>
            </w:r>
          </w:p>
        </w:tc>
      </w:tr>
      <w:tr>
        <w:tc>
          <w:tcPr>
            <w:tcW w:type="dxa" w:w="3720"/>
            <w:vAlign w:val="center"/>
          </w:tcPr>
          <w:p>
            <w:pPr>
              <w:spacing w:before="0" w:after="0"/>
            </w:pPr>
            <w:r/>
            <w:r>
              <w:rPr>
                <w:rFonts w:ascii="Calibri" w:hAnsi="Calibri" w:eastAsia="Heiti TC"/>
                <w:b w:val="0"/>
                <w:color w:val="111827"/>
                <w:sz w:val="17"/>
              </w:rPr>
              <w:t>半导体国产工艺设备扩产对电子特气及高纯化学品供应链的需求传导与国产化空间</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工业供给瓶颈</w:t>
            </w:r>
          </w:p>
        </w:tc>
        <w:tc>
          <w:tcPr>
            <w:tcW w:type="dxa" w:w="900"/>
            <w:vAlign w:val="center"/>
          </w:tcPr>
          <w:p>
            <w:pPr>
              <w:spacing w:before="0" w:after="0"/>
              <w:jc w:val="center"/>
            </w:pPr>
            <w:r/>
            <w:r>
              <w:rPr>
                <w:rFonts w:ascii="Calibri" w:hAnsi="Calibri" w:eastAsia="Heiti TC"/>
                <w:b/>
                <w:color w:val="111827"/>
                <w:sz w:val="17"/>
              </w:rPr>
              <w:t>44.7</w:t>
            </w:r>
          </w:p>
        </w:tc>
        <w:tc>
          <w:tcPr>
            <w:tcW w:type="dxa" w:w="1500"/>
            <w:vAlign w:val="center"/>
          </w:tcPr>
          <w:p>
            <w:pPr>
              <w:spacing w:before="0" w:after="0"/>
              <w:jc w:val="center"/>
            </w:pPr>
            <w:r/>
            <w:r>
              <w:rPr>
                <w:rFonts w:ascii="Calibri" w:hAnsi="Calibri" w:eastAsia="Heiti TC"/>
                <w:b w:val="0"/>
                <w:color w:val="111827"/>
                <w:sz w:val="16"/>
              </w:rPr>
              <w:t>风险 1</w:t>
            </w:r>
          </w:p>
        </w:tc>
      </w:tr>
      <w:tr>
        <w:tc>
          <w:tcPr>
            <w:tcW w:type="dxa" w:w="3720"/>
            <w:vAlign w:val="center"/>
          </w:tcPr>
          <w:p>
            <w:pPr>
              <w:spacing w:before="0" w:after="0"/>
            </w:pPr>
            <w:r/>
            <w:r>
              <w:rPr>
                <w:rFonts w:ascii="Calibri" w:hAnsi="Calibri" w:eastAsia="Heiti TC"/>
                <w:b w:val="0"/>
                <w:color w:val="111827"/>
                <w:sz w:val="17"/>
              </w:rPr>
              <w:t>监管合规成本与能效政策红利对IoT芯片定价权的长期支撑力评估</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AI 基础设施</w:t>
            </w:r>
          </w:p>
        </w:tc>
        <w:tc>
          <w:tcPr>
            <w:tcW w:type="dxa" w:w="900"/>
            <w:vAlign w:val="center"/>
          </w:tcPr>
          <w:p>
            <w:pPr>
              <w:spacing w:before="0" w:after="0"/>
              <w:jc w:val="center"/>
            </w:pPr>
            <w:r/>
            <w:r>
              <w:rPr>
                <w:rFonts w:ascii="Calibri" w:hAnsi="Calibri" w:eastAsia="Heiti TC"/>
                <w:b/>
                <w:color w:val="111827"/>
                <w:sz w:val="17"/>
              </w:rPr>
              <w:t>44.6</w:t>
            </w:r>
          </w:p>
        </w:tc>
        <w:tc>
          <w:tcPr>
            <w:tcW w:type="dxa" w:w="1500"/>
            <w:vAlign w:val="center"/>
          </w:tcPr>
          <w:p>
            <w:pPr>
              <w:spacing w:before="0" w:after="0"/>
              <w:jc w:val="center"/>
            </w:pPr>
            <w:r/>
            <w:r>
              <w:rPr>
                <w:rFonts w:ascii="Calibri" w:hAnsi="Calibri" w:eastAsia="Heiti TC"/>
                <w:b w:val="0"/>
                <w:color w:val="111827"/>
                <w:sz w:val="16"/>
              </w:rPr>
              <w:t>风险 3</w:t>
            </w:r>
          </w:p>
        </w:tc>
      </w:tr>
      <w:tr>
        <w:tc>
          <w:tcPr>
            <w:tcW w:type="dxa" w:w="3720"/>
            <w:vAlign w:val="center"/>
          </w:tcPr>
          <w:p>
            <w:pPr>
              <w:spacing w:before="0" w:after="0"/>
            </w:pPr>
            <w:r/>
            <w:r>
              <w:rPr>
                <w:rFonts w:ascii="Calibri" w:hAnsi="Calibri" w:eastAsia="Heiti TC"/>
                <w:b w:val="0"/>
                <w:color w:val="111827"/>
                <w:sz w:val="17"/>
              </w:rPr>
              <w:t>电力瓶颈与能源成本波动：AI硬件链FCF的新边际成本</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宏观通胀传导</w:t>
            </w:r>
          </w:p>
        </w:tc>
        <w:tc>
          <w:tcPr>
            <w:tcW w:type="dxa" w:w="900"/>
            <w:vAlign w:val="center"/>
          </w:tcPr>
          <w:p>
            <w:pPr>
              <w:spacing w:before="0" w:after="0"/>
              <w:jc w:val="center"/>
            </w:pPr>
            <w:r/>
            <w:r>
              <w:rPr>
                <w:rFonts w:ascii="Calibri" w:hAnsi="Calibri" w:eastAsia="Heiti TC"/>
                <w:b/>
                <w:color w:val="111827"/>
                <w:sz w:val="17"/>
              </w:rPr>
              <w:t>44.5</w:t>
            </w:r>
          </w:p>
        </w:tc>
        <w:tc>
          <w:tcPr>
            <w:tcW w:type="dxa" w:w="1500"/>
            <w:vAlign w:val="center"/>
          </w:tcPr>
          <w:p>
            <w:pPr>
              <w:spacing w:before="0" w:after="0"/>
              <w:jc w:val="center"/>
            </w:pPr>
            <w:r/>
            <w:r>
              <w:rPr>
                <w:rFonts w:ascii="Calibri" w:hAnsi="Calibri" w:eastAsia="Heiti TC"/>
                <w:b w:val="0"/>
                <w:color w:val="111827"/>
                <w:sz w:val="16"/>
              </w:rPr>
              <w:t>风险 2</w:t>
            </w:r>
          </w:p>
        </w:tc>
      </w:tr>
      <w:tr>
        <w:tc>
          <w:tcPr>
            <w:tcW w:type="dxa" w:w="3720"/>
            <w:vAlign w:val="center"/>
          </w:tcPr>
          <w:p>
            <w:pPr>
              <w:spacing w:before="0" w:after="0"/>
            </w:pPr>
            <w:r/>
            <w:r>
              <w:rPr>
                <w:rFonts w:ascii="Calibri" w:hAnsi="Calibri" w:eastAsia="Heiti TC"/>
                <w:b w:val="0"/>
                <w:color w:val="111827"/>
                <w:sz w:val="17"/>
              </w:rPr>
              <w:t>电力是否是 AI 物理瓶颈的真正硬上限？</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AI 基础设施</w:t>
            </w:r>
          </w:p>
        </w:tc>
        <w:tc>
          <w:tcPr>
            <w:tcW w:type="dxa" w:w="900"/>
            <w:vAlign w:val="center"/>
          </w:tcPr>
          <w:p>
            <w:pPr>
              <w:spacing w:before="0" w:after="0"/>
              <w:jc w:val="center"/>
            </w:pPr>
            <w:r/>
            <w:r>
              <w:rPr>
                <w:rFonts w:ascii="Calibri" w:hAnsi="Calibri" w:eastAsia="Heiti TC"/>
                <w:b/>
                <w:color w:val="111827"/>
                <w:sz w:val="17"/>
              </w:rPr>
              <w:t>44.2</w:t>
            </w:r>
          </w:p>
        </w:tc>
        <w:tc>
          <w:tcPr>
            <w:tcW w:type="dxa" w:w="1500"/>
            <w:vAlign w:val="center"/>
          </w:tcPr>
          <w:p>
            <w:pPr>
              <w:spacing w:before="0" w:after="0"/>
              <w:jc w:val="center"/>
            </w:pPr>
            <w:r/>
            <w:r>
              <w:rPr>
                <w:rFonts w:ascii="Calibri" w:hAnsi="Calibri" w:eastAsia="Heiti TC"/>
                <w:b w:val="0"/>
                <w:color w:val="111827"/>
                <w:sz w:val="16"/>
              </w:rPr>
              <w:t>风险 3</w:t>
            </w:r>
          </w:p>
        </w:tc>
      </w:tr>
      <w:tr>
        <w:tc>
          <w:tcPr>
            <w:tcW w:type="dxa" w:w="3720"/>
            <w:vAlign w:val="center"/>
          </w:tcPr>
          <w:p>
            <w:pPr>
              <w:spacing w:before="0" w:after="0"/>
            </w:pPr>
            <w:r/>
            <w:r>
              <w:rPr>
                <w:rFonts w:ascii="Calibri" w:hAnsi="Calibri" w:eastAsia="Heiti TC"/>
                <w:b w:val="0"/>
                <w:color w:val="111827"/>
                <w:sz w:val="17"/>
              </w:rPr>
              <w:t>磷矿石基本面利润垫压力测试</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宏观通胀传导</w:t>
            </w:r>
          </w:p>
        </w:tc>
        <w:tc>
          <w:tcPr>
            <w:tcW w:type="dxa" w:w="900"/>
            <w:vAlign w:val="center"/>
          </w:tcPr>
          <w:p>
            <w:pPr>
              <w:spacing w:before="0" w:after="0"/>
              <w:jc w:val="center"/>
            </w:pPr>
            <w:r/>
            <w:r>
              <w:rPr>
                <w:rFonts w:ascii="Calibri" w:hAnsi="Calibri" w:eastAsia="Heiti TC"/>
                <w:b/>
                <w:color w:val="111827"/>
                <w:sz w:val="17"/>
              </w:rPr>
              <w:t>44.1</w:t>
            </w:r>
          </w:p>
        </w:tc>
        <w:tc>
          <w:tcPr>
            <w:tcW w:type="dxa" w:w="1500"/>
            <w:vAlign w:val="center"/>
          </w:tcPr>
          <w:p>
            <w:pPr>
              <w:spacing w:before="0" w:after="0"/>
              <w:jc w:val="center"/>
            </w:pPr>
            <w:r/>
            <w:r>
              <w:rPr>
                <w:rFonts w:ascii="Calibri" w:hAnsi="Calibri" w:eastAsia="Heiti TC"/>
                <w:b w:val="0"/>
                <w:color w:val="111827"/>
                <w:sz w:val="16"/>
              </w:rPr>
              <w:t>风险 2</w:t>
            </w:r>
          </w:p>
        </w:tc>
      </w:tr>
      <w:tr>
        <w:tc>
          <w:tcPr>
            <w:tcW w:type="dxa" w:w="3720"/>
            <w:vAlign w:val="center"/>
          </w:tcPr>
          <w:p>
            <w:pPr>
              <w:spacing w:before="0" w:after="0"/>
            </w:pPr>
            <w:r/>
            <w:r>
              <w:rPr>
                <w:rFonts w:ascii="Calibri" w:hAnsi="Calibri" w:eastAsia="Heiti TC"/>
                <w:b w:val="0"/>
                <w:color w:val="111827"/>
                <w:sz w:val="17"/>
              </w:rPr>
              <w:t>A股上游材料板块 Alpha 识别：基于“出海营收占比 × (海外毛利率 − 国内毛利率)”的双因子模型构...</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宏观通胀传导</w:t>
            </w:r>
          </w:p>
        </w:tc>
        <w:tc>
          <w:tcPr>
            <w:tcW w:type="dxa" w:w="900"/>
            <w:vAlign w:val="center"/>
          </w:tcPr>
          <w:p>
            <w:pPr>
              <w:spacing w:before="0" w:after="0"/>
              <w:jc w:val="center"/>
            </w:pPr>
            <w:r/>
            <w:r>
              <w:rPr>
                <w:rFonts w:ascii="Calibri" w:hAnsi="Calibri" w:eastAsia="Heiti TC"/>
                <w:b/>
                <w:color w:val="111827"/>
                <w:sz w:val="17"/>
              </w:rPr>
              <w:t>43.5</w:t>
            </w:r>
          </w:p>
        </w:tc>
        <w:tc>
          <w:tcPr>
            <w:tcW w:type="dxa" w:w="1500"/>
            <w:vAlign w:val="center"/>
          </w:tcPr>
          <w:p>
            <w:pPr>
              <w:spacing w:before="0" w:after="0"/>
              <w:jc w:val="center"/>
            </w:pPr>
            <w:r/>
            <w:r>
              <w:rPr>
                <w:rFonts w:ascii="Calibri" w:hAnsi="Calibri" w:eastAsia="Heiti TC"/>
                <w:b w:val="0"/>
                <w:color w:val="111827"/>
                <w:sz w:val="16"/>
              </w:rPr>
              <w:t>常规</w:t>
            </w:r>
          </w:p>
        </w:tc>
      </w:tr>
    </w:tbl>
    <w:p>
      <w:pPr>
        <w:spacing w:before="0" w:after="160" w:line="264" w:lineRule="auto"/>
      </w:pPr>
      <w:r>
        <w:rPr>
          <w:rFonts w:ascii="Calibri" w:hAnsi="Calibri" w:eastAsia="Heiti TC"/>
          <w:b w:val="0"/>
          <w:i/>
          <w:color w:val="667085"/>
          <w:sz w:val="17"/>
        </w:rPr>
        <w:t>Table 1. Evidence table excerpt. Full evidence remains available in the interactive daily brief.</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Heiti TC"/>
        <w:color w:val="667085"/>
        <w:sz w:val="17"/>
      </w:rPr>
      <w:t>Generated from local AI Institute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Heiti TC"/>
        <w:color w:val="667085"/>
        <w:sz w:val="18"/>
      </w:rPr>
      <w:t>AI Institute Daily Investor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Heiti TC"/>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Heiti T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Heiti T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Heiti T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Heiti TC"/>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Heiti TC"/>
      <w:b w:val="0"/>
      <w:i/>
      <w:iCs/>
      <w:color w:val="47556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reports/archive-be8430b1d8b2" TargetMode="External"/><Relationship Id="rId13" Type="http://schemas.openxmlformats.org/officeDocument/2006/relationships/hyperlink" Target="reports/archive-1ba0209b8947" TargetMode="External"/><Relationship Id="rId14" Type="http://schemas.openxmlformats.org/officeDocument/2006/relationships/hyperlink" Target="reports/archive-ea7f17065c87" TargetMode="Externa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hyperlink" Target="reports/archive-852dc4f67265" TargetMode="External"/><Relationship Id="rId20" Type="http://schemas.openxmlformats.org/officeDocument/2006/relationships/hyperlink" Target="reports/archive-9bb326b17adb" TargetMode="External"/><Relationship Id="rId21" Type="http://schemas.openxmlformats.org/officeDocument/2006/relationships/hyperlink" Target="reports/archive-69699d2104e5" TargetMode="External"/><Relationship Id="rId22" Type="http://schemas.openxmlformats.org/officeDocument/2006/relationships/hyperlink" Target="reports/archive-79003d0fdf4d" TargetMode="External"/><Relationship Id="rId23" Type="http://schemas.openxmlformats.org/officeDocument/2006/relationships/hyperlink" Target="reports/archive-9b8725242c9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Institute Daily Brief 2026-06-06</dc:title>
  <dc:subject>Daily investor research brief</dc:subject>
  <dc:creator>AI Institute</dc:creator>
  <cp:keywords/>
  <dc:description>generated by python-docx</dc:description>
  <cp:lastModifiedBy/>
  <cp:revision>1</cp:revision>
  <dcterms:created xsi:type="dcterms:W3CDTF">2013-12-23T23:15:00Z</dcterms:created>
  <dcterms:modified xsi:type="dcterms:W3CDTF">2013-12-23T23:15:00Z</dcterms:modified>
  <cp:category/>
</cp:coreProperties>
</file>