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240"/>
      </w:pPr>
    </w:p>
    <w:p>
      <w:pPr>
        <w:spacing w:after="240"/>
      </w:pPr>
    </w:p>
    <w:p>
      <w:pPr>
        <w:spacing w:after="360"/>
        <w:jc w:val="center"/>
      </w:pPr>
      <w:r>
        <w:rPr>
          <w:rFonts w:ascii="Calibri" w:hAnsi="Calibri" w:eastAsia="Hiragino Sans GB"/>
          <w:b/>
          <w:color w:val="D85B16"/>
          <w:sz w:val="18"/>
        </w:rPr>
        <w:t>AI INSTITUTE · WEEKLY RESEARCH</w:t>
      </w:r>
    </w:p>
    <w:p>
      <w:pPr>
        <w:spacing w:after="160"/>
        <w:jc w:val="center"/>
      </w:pPr>
      <w:r>
        <w:rPr>
          <w:rFonts w:ascii="Calibri" w:hAnsi="Calibri" w:eastAsia="Hiragino Sans GB"/>
          <w:b/>
          <w:color w:val="111111"/>
          <w:sz w:val="60"/>
        </w:rPr>
        <w:t>AI Institute 周度研究报告</w:t>
      </w:r>
    </w:p>
    <w:p>
      <w:pPr>
        <w:spacing w:after="480"/>
        <w:jc w:val="center"/>
      </w:pPr>
      <w:r>
        <w:rPr>
          <w:rFonts w:ascii="Calibri" w:hAnsi="Calibri" w:eastAsia="Hiragino Sans GB"/>
          <w:b/>
          <w:color w:val="5E6268"/>
          <w:sz w:val="28"/>
        </w:rPr>
        <w:t>2026-W30｜从名义 AI 资本开支转向可通电、可回收、可变现</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2340"/>
        <w:gridCol w:w="2340"/>
        <w:gridCol w:w="2340"/>
        <w:gridCol w:w="2340"/>
      </w:tblGrid>
      <w:tr>
        <w:trPr>
          <w:cantSplit/>
        </w:trPr>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WEEK</w:t>
            </w:r>
          </w:p>
          <w:p>
            <w:pPr>
              <w:spacing w:after="0"/>
              <w:jc w:val="center"/>
            </w:pPr>
            <w:r>
              <w:rPr>
                <w:rFonts w:ascii="Calibri" w:hAnsi="Calibri" w:eastAsia="Hiragino Sans GB"/>
                <w:b/>
                <w:color w:val="111111"/>
                <w:sz w:val="19"/>
              </w:rPr>
              <w:t>2026-W30</w:t>
            </w:r>
          </w:p>
        </w:tc>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WINDOW</w:t>
            </w:r>
          </w:p>
          <w:p>
            <w:pPr>
              <w:spacing w:after="0"/>
              <w:jc w:val="center"/>
            </w:pPr>
            <w:r>
              <w:rPr>
                <w:rFonts w:ascii="Calibri" w:hAnsi="Calibri" w:eastAsia="Hiragino Sans GB"/>
                <w:b/>
                <w:color w:val="111111"/>
                <w:sz w:val="19"/>
              </w:rPr>
              <w:t>2026-07-14 → 2026-07-20</w:t>
            </w:r>
          </w:p>
        </w:tc>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EDITION</w:t>
            </w:r>
          </w:p>
          <w:p>
            <w:pPr>
              <w:spacing w:after="0"/>
              <w:jc w:val="center"/>
            </w:pPr>
            <w:r>
              <w:rPr>
                <w:rFonts w:ascii="Calibri" w:hAnsi="Calibri" w:eastAsia="Hiragino Sans GB"/>
                <w:b/>
                <w:color w:val="111111"/>
                <w:sz w:val="19"/>
              </w:rPr>
              <w:t>rolling · REV 6</w:t>
            </w:r>
          </w:p>
        </w:tc>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QUALITY</w:t>
            </w:r>
          </w:p>
          <w:p>
            <w:pPr>
              <w:spacing w:after="0"/>
              <w:jc w:val="center"/>
            </w:pPr>
            <w:r>
              <w:rPr>
                <w:rFonts w:ascii="Calibri" w:hAnsi="Calibri" w:eastAsia="Hiragino Sans GB"/>
                <w:b/>
                <w:color w:val="111111"/>
                <w:sz w:val="19"/>
              </w:rPr>
              <w:t>pass_with_warnings · 83</w:t>
            </w:r>
          </w:p>
        </w:tc>
      </w:tr>
    </w:tbl>
    <w:p>
      <w:pPr>
        <w:spacing w:after="80"/>
      </w:pP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360"/>
      </w:tblGrid>
      <w:tr>
        <w:trPr>
          <w:cantSplit/>
        </w:trPr>
        <w:tc>
          <w:tcPr>
            <w:tcW w:type="dxa" w:w="9360"/>
            <w:tcMar>
              <w:top w:w="80" w:type="dxa"/>
              <w:bottom w:w="80" w:type="dxa"/>
              <w:start w:w="120" w:type="dxa"/>
              <w:end w:w="120" w:type="dxa"/>
            </w:tcMar>
            <w:vAlign w:val="top"/>
            <w:shd w:fill="F8F9FA"/>
          </w:tcPr>
          <w:p>
            <w:pPr>
              <w:spacing w:before="80" w:after="80"/>
            </w:pPr>
            <w:r>
              <w:rPr>
                <w:rFonts w:ascii="Calibri" w:hAnsi="Calibri" w:eastAsia="Hiragino Sans GB"/>
                <w:b/>
                <w:color w:val="D85B16"/>
                <w:sz w:val="17"/>
              </w:rPr>
              <w:t>一句话结论</w:t>
              <w:br/>
            </w:r>
            <w:r>
              <w:rPr>
                <w:rFonts w:ascii="Calibri" w:hAnsi="Calibri" w:eastAsia="Hiragino Sans GB"/>
                <w:b/>
                <w:color w:val="111111"/>
                <w:sz w:val="24"/>
              </w:rPr>
              <w:t>本周决策转向控制集中风险：TRIM AI 算力半导体与中国权益流动性，HOLD A股杠铃、AI再通胀资产和Mag7再分层；真正需要核对的已不是研究热度，而是并网、合同、产品结构和流动性确认。</w:t>
            </w:r>
          </w:p>
        </w:tc>
      </w:tr>
    </w:tbl>
    <w:p>
      <w:pPr>
        <w:spacing w:before="320" w:after="0"/>
        <w:jc w:val="center"/>
      </w:pPr>
      <w:hyperlink r:id="rId11">
        <w:r>
          <w:rPr>
            <w:color w:val="1D5FD1"/>
            <w:u w:val="single"/>
            <w:sz w:val="18"/>
            <w:szCs w:val="18"/>
            <w:rFonts w:ascii="Calibri" w:hAnsi="Calibri" w:eastAsia="Hiragino Sans GB"/>
          </w:rPr>
          <w:t>打开受保护的在线周报</w:t>
        </w:r>
      </w:hyperlink>
    </w:p>
    <w:p>
      <w:r>
        <w:br w:type="page"/>
      </w:r>
    </w:p>
    <w:p>
      <w:pPr>
        <w:pStyle w:val="SectionLabel"/>
      </w:pPr>
      <w:r>
        <w:rPr>
          <w:rFonts w:ascii="Calibri" w:hAnsi="Calibri" w:eastAsia="Hiragino Sans GB"/>
          <w:b/>
          <w:color w:val="1D5FD1"/>
          <w:sz w:val="17"/>
        </w:rPr>
        <w:t>DECISION FIRST</w:t>
      </w:r>
    </w:p>
    <w:p>
      <w:pPr>
        <w:pStyle w:val="Heading1"/>
      </w:pPr>
      <w:r>
        <w:t>1. 执行摘要</w:t>
      </w:r>
    </w:p>
    <w:p>
      <w:pPr>
        <w:keepLines w:val="0"/>
      </w:pPr>
      <w:r>
        <w:rPr>
          <w:rFonts w:ascii="Calibri" w:hAnsi="Calibri" w:eastAsia="Hiragino Sans GB"/>
          <w:b w:val="0"/>
          <w:color w:val="111111"/>
          <w:sz w:val="22"/>
        </w:rPr>
        <w:t>相较 W29 的 standing theses，本周没有证据支持无条件扩大风险预算。AI需求叙事仍在，但盈利与配置价值正从单一加速器扩散至存储、定制芯片、云平台和电网设备；与此同时，并网滑期、先进封装良率、模型价格战和实际利率构成四重约束。因此，AI算力半导体执行 TRIM，Mag7再分层与AI再通胀资产维持 HOLD。中国资产方面，政策与人民币路径提供支持，但两融、ETF承接和硬科技微观结构尚未形成一致确认；中国权益流动性执行 TRIM，A股红利/硬科技杠铃维持 HOLD，且硬科技腿应弱于红利腿。本期没有可用市场报价数据，故不对最新价格、涨跌幅或实际资金流方向作判断。</w:t>
      </w:r>
    </w:p>
    <w:p>
      <w:pPr>
        <w:keepLines/>
      </w:pPr>
      <w:r>
        <w:rPr>
          <w:rFonts w:ascii="Calibri" w:hAnsi="Calibri" w:eastAsia="Hiragino Sans GB"/>
          <w:b w:val="0"/>
          <w:color w:val="5E6268"/>
          <w:sz w:val="22"/>
        </w:rPr>
        <w:t>本周最重要的变化不是AI叙事消失，而是决策单位从“资本开支金额”缩小到“已通电容量、合同保护、产品结构与现金流”。在这些变量同时改善前，TRIM与HOLD比方向性押注更符合证据；AI电力主线虽获结构性支持，但建设滑期可能先带来需求破坏，必须保留反向情景。本报告仅为研究综合，不构成投资建议，不承诺任何收益。</w:t>
      </w:r>
    </w:p>
    <w:p>
      <w:pPr>
        <w:pStyle w:val="Heading1"/>
      </w:pPr>
      <w:r>
        <w:t>2. 本周操作结论</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850"/>
        <w:gridCol w:w="2050"/>
        <w:gridCol w:w="4200"/>
        <w:gridCol w:w="2260"/>
      </w:tblGrid>
      <w:tr>
        <w:trPr>
          <w:cantSplit/>
          <w:tblHeader w:val="true"/>
        </w:trPr>
        <w:tc>
          <w:tcPr>
            <w:tcW w:type="dxa" w:w="8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ACTION</w:t>
            </w:r>
          </w:p>
        </w:tc>
        <w:tc>
          <w:tcPr>
            <w:tcW w:type="dxa" w:w="20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TARGET</w:t>
            </w:r>
          </w:p>
        </w:tc>
        <w:tc>
          <w:tcPr>
            <w:tcW w:type="dxa" w:w="42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DRIVER / CONFIRMATION</w:t>
            </w:r>
          </w:p>
        </w:tc>
        <w:tc>
          <w:tcPr>
            <w:tcW w:type="dxa" w:w="22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INVALIDATION</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C92A2A"/>
                <w:sz w:val="17"/>
              </w:rPr>
              <w:t>TRIM</w:t>
            </w:r>
          </w:p>
        </w:tc>
        <w:tc>
          <w:tcPr>
            <w:tcW w:type="dxa" w:w="2050"/>
            <w:tcMar>
              <w:top w:w="80" w:type="dxa"/>
              <w:bottom w:w="80" w:type="dxa"/>
              <w:start w:w="120" w:type="dxa"/>
              <w:end w:w="120" w:type="dxa"/>
            </w:tcMar>
            <w:vAlign w:val="top"/>
          </w:tcPr>
          <w:p>
            <w:pPr>
              <w:spacing w:after="40"/>
            </w:pPr>
            <w:hyperlink r:id="rId12">
              <w:r>
                <w:rPr>
                  <w:color w:val="1D5FD1"/>
                  <w:u w:val="single"/>
                  <w:b/>
                  <w:sz w:val="17"/>
                  <w:szCs w:val="17"/>
                  <w:rFonts w:ascii="Calibri" w:hAnsi="Calibri" w:eastAsia="Hiragino Sans GB"/>
                </w:rPr>
                <w:t>AI 算力半导体</w:t>
              </w:r>
            </w:hyperlink>
            <w:r>
              <w:rPr>
                <w:rFonts w:ascii="Calibri" w:hAnsi="Calibri" w:eastAsia="Hiragino Sans GB"/>
                <w:color w:val="5E6268"/>
                <w:sz w:val="15"/>
              </w:rPr>
              <w:br/>
              <w:t>lane · 2026-07-20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AI算力需求仍强，但收益正在从单一加速器向存储、定制芯片和云平台扩散；配置应侧重订单、产品结构和自由现金流，控制估值集中风险。 风险雷达：降权跟踪：适合作为风险雷达，不适合作为无条件加仓理由。 确认：CPI/PCE 与油价是否重新推高实际利率</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C92A2A"/>
                <w:sz w:val="17"/>
              </w:rPr>
              <w:t>TRIM</w:t>
            </w:r>
          </w:p>
        </w:tc>
        <w:tc>
          <w:tcPr>
            <w:tcW w:type="dxa" w:w="2050"/>
            <w:tcMar>
              <w:top w:w="80" w:type="dxa"/>
              <w:bottom w:w="80" w:type="dxa"/>
              <w:start w:w="120" w:type="dxa"/>
              <w:end w:w="120" w:type="dxa"/>
            </w:tcMar>
            <w:vAlign w:val="top"/>
          </w:tcPr>
          <w:p>
            <w:pPr>
              <w:spacing w:after="40"/>
            </w:pPr>
            <w:hyperlink r:id="rId13">
              <w:r>
                <w:rPr>
                  <w:color w:val="1D5FD1"/>
                  <w:u w:val="single"/>
                  <w:b/>
                  <w:sz w:val="17"/>
                  <w:szCs w:val="17"/>
                  <w:rFonts w:ascii="Calibri" w:hAnsi="Calibri" w:eastAsia="Hiragino Sans GB"/>
                </w:rPr>
                <w:t>中国权益流动性</w:t>
              </w:r>
            </w:hyperlink>
            <w:r>
              <w:rPr>
                <w:rFonts w:ascii="Calibri" w:hAnsi="Calibri" w:eastAsia="Hiragino Sans GB"/>
                <w:color w:val="5E6268"/>
                <w:sz w:val="15"/>
              </w:rPr>
              <w:br/>
              <w:t>lane · 2026-07-20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风险雷达：降权跟踪：适合作为风险雷达，不适合作为无条件加仓理由。 确认：期权伽马和 ETF 资金是否放大尾盘流动性</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4">
              <w:r>
                <w:rPr>
                  <w:color w:val="1D5FD1"/>
                  <w:u w:val="single"/>
                  <w:b/>
                  <w:sz w:val="17"/>
                  <w:szCs w:val="17"/>
                  <w:rFonts w:ascii="Calibri" w:hAnsi="Calibri" w:eastAsia="Hiragino Sans GB"/>
                </w:rPr>
                <w:t>A股红利/硬科技杠铃</w:t>
              </w:r>
            </w:hyperlink>
            <w:r>
              <w:rPr>
                <w:rFonts w:ascii="Calibri" w:hAnsi="Calibri" w:eastAsia="Hiragino Sans GB"/>
                <w:color w:val="5E6268"/>
                <w:sz w:val="15"/>
              </w:rPr>
              <w:br/>
              <w:t>lane · 2026-07-20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确认：融资余额、ETF 申赎和北向资金是否同向</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支持证据停止更新，价格或资金面先于基本面走弱。</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5">
              <w:r>
                <w:rPr>
                  <w:color w:val="1D5FD1"/>
                  <w:u w:val="single"/>
                  <w:b/>
                  <w:sz w:val="17"/>
                  <w:szCs w:val="17"/>
                  <w:rFonts w:ascii="Calibri" w:hAnsi="Calibri" w:eastAsia="Hiragino Sans GB"/>
                </w:rPr>
                <w:t>AI 再通胀/利率敏感资产</w:t>
              </w:r>
            </w:hyperlink>
            <w:r>
              <w:rPr>
                <w:rFonts w:ascii="Calibri" w:hAnsi="Calibri" w:eastAsia="Hiragino Sans GB"/>
                <w:color w:val="5E6268"/>
                <w:sz w:val="15"/>
              </w:rPr>
              <w:br/>
              <w:t>lane · 2026-07-20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确认：CPI/PCE 与油价是否重新推高实际利率</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支持证据停止更新，价格或资金面先于基本面走弱。</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6">
              <w:r>
                <w:rPr>
                  <w:color w:val="1D5FD1"/>
                  <w:u w:val="single"/>
                  <w:b/>
                  <w:sz w:val="17"/>
                  <w:szCs w:val="17"/>
                  <w:rFonts w:ascii="Calibri" w:hAnsi="Calibri" w:eastAsia="Hiragino Sans GB"/>
                </w:rPr>
                <w:t>Mag7 AI 平台再分层</w:t>
              </w:r>
            </w:hyperlink>
            <w:r>
              <w:rPr>
                <w:rFonts w:ascii="Calibri" w:hAnsi="Calibri" w:eastAsia="Hiragino Sans GB"/>
                <w:color w:val="5E6268"/>
                <w:sz w:val="15"/>
              </w:rPr>
              <w:br/>
              <w:t>lane · 2026-07-20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确认：云厂商 capex 指引是否继续上修</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bl>
    <w:p>
      <w:pPr>
        <w:pStyle w:val="TableCitation"/>
      </w:pPr>
      <w:r>
        <w:t>基于公开研究合约的研究台操作视图，不构成投资建议；完整客观命中率与真实组合交易需要独立 Panorama App/组合账本读取。</w:t>
      </w:r>
    </w:p>
    <w:p>
      <w:pPr>
        <w:pStyle w:val="Heading1"/>
      </w:pPr>
      <w:r>
        <w:t>3. 决策解释：从证据到组合</w:t>
      </w:r>
    </w:p>
    <w:p>
      <w:pPr>
        <w:pStyle w:val="Heading2"/>
        <w:keepNext/>
      </w:pPr>
      <w:r>
        <w:t>01 · TRIM｜AI 算力半导体</w:t>
      </w:r>
    </w:p>
    <w:p>
      <w:pPr>
        <w:keepLines/>
      </w:pPr>
      <w:r>
        <w:rPr>
          <w:rFonts w:ascii="Calibri" w:hAnsi="Calibri" w:eastAsia="Hiragino Sans GB"/>
          <w:b w:val="0"/>
          <w:color w:val="111111"/>
          <w:sz w:val="22"/>
        </w:rPr>
        <w:t>确定性 driver（原文）：AI算力需求仍强，但收益正在从单一加速器向存储、定制芯片和云平台扩散；配置应侧重订单、产品结构和自由现金流，控制估值集中风险。 风险雷达：降权跟踪：适合作为风险雷达，不适合作为无条件加仓理由。解释上，本周压力测试显示稀缺盈利尚未全面扩散，并网与先进封装约束可能使名义需求无法同步转化为交付和现金流。</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保留经订单、产品结构和现金流验证的核心暴露，削减仅依赖行业总需求或高利润率外推的集中仓位；NVDA、TSM、MU、000660.KS、AMD、AVGO等只作分层跟踪，不把证据密度视为价格确认。</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17">
        <w:r>
          <w:rPr>
            <w:color w:val="1D5FD1"/>
            <w:u w:val="single"/>
            <w:sz w:val="17"/>
            <w:szCs w:val="17"/>
            <w:rFonts w:ascii="Calibri" w:hAnsi="Calibri" w:eastAsia="Hiragino Sans GB"/>
          </w:rPr>
          <w:t>R1</w:t>
        </w:r>
      </w:hyperlink>
      <w:r>
        <w:t xml:space="preserve"> · </w:t>
      </w:r>
      <w:hyperlink r:id="rId18">
        <w:r>
          <w:rPr>
            <w:color w:val="1D5FD1"/>
            <w:u w:val="single"/>
            <w:sz w:val="17"/>
            <w:szCs w:val="17"/>
            <w:rFonts w:ascii="Calibri" w:hAnsi="Calibri" w:eastAsia="Hiragino Sans GB"/>
          </w:rPr>
          <w:t>R2</w:t>
        </w:r>
      </w:hyperlink>
      <w:r>
        <w:t xml:space="preserve"> · </w:t>
      </w:r>
      <w:hyperlink r:id="rId19">
        <w:r>
          <w:rPr>
            <w:color w:val="1D5FD1"/>
            <w:u w:val="single"/>
            <w:sz w:val="17"/>
            <w:szCs w:val="17"/>
            <w:rFonts w:ascii="Calibri" w:hAnsi="Calibri" w:eastAsia="Hiragino Sans GB"/>
          </w:rPr>
          <w:t>R3</w:t>
        </w:r>
      </w:hyperlink>
      <w:r>
        <w:t xml:space="preserve"> · </w:t>
      </w:r>
      <w:hyperlink r:id="rId20">
        <w:r>
          <w:rPr>
            <w:color w:val="1D5FD1"/>
            <w:u w:val="single"/>
            <w:sz w:val="17"/>
            <w:szCs w:val="17"/>
            <w:rFonts w:ascii="Calibri" w:hAnsi="Calibri" w:eastAsia="Hiragino Sans GB"/>
          </w:rPr>
          <w:t>对应 Thesis</w:t>
        </w:r>
      </w:hyperlink>
    </w:p>
    <w:p>
      <w:pPr>
        <w:pStyle w:val="Heading2"/>
        <w:keepNext/>
      </w:pPr>
      <w:r>
        <w:t>02 · TRIM｜中国权益流动性</w:t>
      </w:r>
    </w:p>
    <w:p>
      <w:pPr>
        <w:keepLines/>
      </w:pPr>
      <w:r>
        <w:rPr>
          <w:rFonts w:ascii="Calibri" w:hAnsi="Calibri" w:eastAsia="Hiragino Sans GB"/>
          <w:b w:val="0"/>
          <w:color w:val="111111"/>
          <w:sz w:val="22"/>
        </w:rPr>
        <w:t>确定性 driver（原文）：风险雷达：降权跟踪：适合作为风险雷达，不适合作为无条件加仓理由。解释上，人民币与政策路径仍提供支持，但A股微观结构、指数与中小盘流动性分化尚未被修复，支持证据不足以抵消风险信号。</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降低依赖整体风险偏好扩张的中国权益 Beta，保留政策受益且基本面可验证的结构性暴露；在融资余额、ETF申赎和北向资金形成同向确认前，不恢复510300.SH、159915.SZ、2800.HK等宽基风险预算。</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21">
        <w:r>
          <w:rPr>
            <w:color w:val="1D5FD1"/>
            <w:u w:val="single"/>
            <w:sz w:val="17"/>
            <w:szCs w:val="17"/>
            <w:rFonts w:ascii="Calibri" w:hAnsi="Calibri" w:eastAsia="Hiragino Sans GB"/>
          </w:rPr>
          <w:t>R1</w:t>
        </w:r>
      </w:hyperlink>
      <w:r>
        <w:t xml:space="preserve"> · </w:t>
      </w:r>
      <w:hyperlink r:id="rId22">
        <w:r>
          <w:rPr>
            <w:color w:val="1D5FD1"/>
            <w:u w:val="single"/>
            <w:sz w:val="17"/>
            <w:szCs w:val="17"/>
            <w:rFonts w:ascii="Calibri" w:hAnsi="Calibri" w:eastAsia="Hiragino Sans GB"/>
          </w:rPr>
          <w:t>R2</w:t>
        </w:r>
      </w:hyperlink>
      <w:r>
        <w:t xml:space="preserve"> · </w:t>
      </w:r>
      <w:hyperlink r:id="rId23">
        <w:r>
          <w:rPr>
            <w:color w:val="1D5FD1"/>
            <w:u w:val="single"/>
            <w:sz w:val="17"/>
            <w:szCs w:val="17"/>
            <w:rFonts w:ascii="Calibri" w:hAnsi="Calibri" w:eastAsia="Hiragino Sans GB"/>
          </w:rPr>
          <w:t>R3</w:t>
        </w:r>
      </w:hyperlink>
      <w:r>
        <w:t xml:space="preserve"> · </w:t>
      </w:r>
      <w:hyperlink r:id="rId24">
        <w:r>
          <w:rPr>
            <w:color w:val="1D5FD1"/>
            <w:u w:val="single"/>
            <w:sz w:val="17"/>
            <w:szCs w:val="17"/>
            <w:rFonts w:ascii="Calibri" w:hAnsi="Calibri" w:eastAsia="Hiragino Sans GB"/>
          </w:rPr>
          <w:t>对应 Thesis</w:t>
        </w:r>
      </w:hyperlink>
    </w:p>
    <w:p>
      <w:pPr>
        <w:pStyle w:val="Heading2"/>
        <w:keepNext/>
      </w:pPr>
      <w:r>
        <w:t>03 · HOLD｜A股红利/硬科技杠铃</w:t>
      </w:r>
    </w:p>
    <w:p>
      <w:pPr>
        <w:keepLines/>
      </w:pPr>
      <w:r>
        <w:rPr>
          <w:rFonts w:ascii="Calibri" w:hAnsi="Calibri" w:eastAsia="Hiragino Sans GB"/>
          <w:b w:val="0"/>
          <w:color w:val="111111"/>
          <w:sz w:val="22"/>
        </w:rPr>
        <w:t>确定性 driver（原文）：观察等待：先放入观察池，只在证据密度和价格确认同时改善时进入组合。解释上，红利腿仍获银行质量筛选与公用事业现金流逻辑支持，但硬科技腿已由 NEUTRAL 下调至 UNDERWEIGHT；杠铃仍可跟踪，却不能假设两腿具有对称的防御能力。</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维持观察状态并向红利腿倾斜质量筛选；硬科技腿只保留具备真实订单、良率和现金流验证的标的。未获得价格与资金面确认前，不因政策叙事扩大整体杠铃仓位。</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支持证据停止更新，价格或资金面先于基本面走弱。</w:t>
            </w:r>
          </w:p>
        </w:tc>
      </w:tr>
    </w:tbl>
    <w:p>
      <w:pPr>
        <w:pStyle w:val="TableCitation"/>
      </w:pPr>
      <w:r>
        <w:t>证据：</w:t>
      </w:r>
      <w:hyperlink r:id="rId25">
        <w:r>
          <w:rPr>
            <w:color w:val="1D5FD1"/>
            <w:u w:val="single"/>
            <w:sz w:val="17"/>
            <w:szCs w:val="17"/>
            <w:rFonts w:ascii="Calibri" w:hAnsi="Calibri" w:eastAsia="Hiragino Sans GB"/>
          </w:rPr>
          <w:t>R1</w:t>
        </w:r>
      </w:hyperlink>
      <w:r>
        <w:t xml:space="preserve"> · </w:t>
      </w:r>
      <w:hyperlink r:id="rId26">
        <w:r>
          <w:rPr>
            <w:color w:val="1D5FD1"/>
            <w:u w:val="single"/>
            <w:sz w:val="17"/>
            <w:szCs w:val="17"/>
            <w:rFonts w:ascii="Calibri" w:hAnsi="Calibri" w:eastAsia="Hiragino Sans GB"/>
          </w:rPr>
          <w:t>R2</w:t>
        </w:r>
      </w:hyperlink>
      <w:r>
        <w:t xml:space="preserve"> · </w:t>
      </w:r>
      <w:hyperlink r:id="rId27">
        <w:r>
          <w:rPr>
            <w:color w:val="1D5FD1"/>
            <w:u w:val="single"/>
            <w:sz w:val="17"/>
            <w:szCs w:val="17"/>
            <w:rFonts w:ascii="Calibri" w:hAnsi="Calibri" w:eastAsia="Hiragino Sans GB"/>
          </w:rPr>
          <w:t>R3</w:t>
        </w:r>
      </w:hyperlink>
      <w:r>
        <w:t xml:space="preserve"> · </w:t>
      </w:r>
      <w:hyperlink r:id="rId28">
        <w:r>
          <w:rPr>
            <w:color w:val="1D5FD1"/>
            <w:u w:val="single"/>
            <w:sz w:val="17"/>
            <w:szCs w:val="17"/>
            <w:rFonts w:ascii="Calibri" w:hAnsi="Calibri" w:eastAsia="Hiragino Sans GB"/>
          </w:rPr>
          <w:t>对应 Thesis</w:t>
        </w:r>
      </w:hyperlink>
    </w:p>
    <w:p>
      <w:pPr>
        <w:pStyle w:val="Heading2"/>
        <w:keepNext/>
      </w:pPr>
      <w:r>
        <w:t>04 · HOLD｜AI 再通胀/利率敏感资产</w:t>
      </w:r>
    </w:p>
    <w:p>
      <w:pPr>
        <w:keepLines/>
      </w:pPr>
      <w:r>
        <w:rPr>
          <w:rFonts w:ascii="Calibri" w:hAnsi="Calibri" w:eastAsia="Hiragino Sans GB"/>
          <w:b w:val="0"/>
          <w:color w:val="111111"/>
          <w:sz w:val="22"/>
        </w:rPr>
        <w:t>确定性 driver（原文）：观察等待：先放入观察池，只在证据密度和价格确认同时改善时进入组合。解释上，电网扩容和费率传导可能抬升服务通胀，但并网与信用约束也可能先推迟物理建设、削弱固定投资和短期需求；当前不足以形成单向利率判断。</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不押注单一利率方向。优先跟踪具备订单、费率保护或已通电容量的资产，同时控制TLT、XLE、XLU、GLD等宏观敏感敞口，等待CPI/PCE、油价与实际利率给出一致信号。</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支持证据停止更新，价格或资金面先于基本面走弱。</w:t>
            </w:r>
          </w:p>
        </w:tc>
      </w:tr>
    </w:tbl>
    <w:p>
      <w:pPr>
        <w:pStyle w:val="TableCitation"/>
      </w:pPr>
      <w:r>
        <w:t>证据：</w:t>
      </w:r>
      <w:hyperlink r:id="rId29">
        <w:r>
          <w:rPr>
            <w:color w:val="1D5FD1"/>
            <w:u w:val="single"/>
            <w:sz w:val="17"/>
            <w:szCs w:val="17"/>
            <w:rFonts w:ascii="Calibri" w:hAnsi="Calibri" w:eastAsia="Hiragino Sans GB"/>
          </w:rPr>
          <w:t>R1</w:t>
        </w:r>
      </w:hyperlink>
      <w:r>
        <w:t xml:space="preserve"> · </w:t>
      </w:r>
      <w:hyperlink r:id="rId30">
        <w:r>
          <w:rPr>
            <w:color w:val="1D5FD1"/>
            <w:u w:val="single"/>
            <w:sz w:val="17"/>
            <w:szCs w:val="17"/>
            <w:rFonts w:ascii="Calibri" w:hAnsi="Calibri" w:eastAsia="Hiragino Sans GB"/>
          </w:rPr>
          <w:t>R2</w:t>
        </w:r>
      </w:hyperlink>
      <w:r>
        <w:t xml:space="preserve"> · </w:t>
      </w:r>
      <w:hyperlink r:id="rId31">
        <w:r>
          <w:rPr>
            <w:color w:val="1D5FD1"/>
            <w:u w:val="single"/>
            <w:sz w:val="17"/>
            <w:szCs w:val="17"/>
            <w:rFonts w:ascii="Calibri" w:hAnsi="Calibri" w:eastAsia="Hiragino Sans GB"/>
          </w:rPr>
          <w:t>R3</w:t>
        </w:r>
      </w:hyperlink>
      <w:r>
        <w:t xml:space="preserve"> · </w:t>
      </w:r>
      <w:hyperlink r:id="rId32">
        <w:r>
          <w:rPr>
            <w:color w:val="1D5FD1"/>
            <w:u w:val="single"/>
            <w:sz w:val="17"/>
            <w:szCs w:val="17"/>
            <w:rFonts w:ascii="Calibri" w:hAnsi="Calibri" w:eastAsia="Hiragino Sans GB"/>
          </w:rPr>
          <w:t>对应 Thesis</w:t>
        </w:r>
      </w:hyperlink>
    </w:p>
    <w:p>
      <w:pPr>
        <w:pStyle w:val="Heading2"/>
        <w:keepNext/>
      </w:pPr>
      <w:r>
        <w:t>05 · HOLD｜Mag7 AI 平台再分层</w:t>
      </w:r>
    </w:p>
    <w:p>
      <w:pPr>
        <w:keepLines/>
      </w:pPr>
      <w:r>
        <w:rPr>
          <w:rFonts w:ascii="Calibri" w:hAnsi="Calibri" w:eastAsia="Hiragino Sans GB"/>
          <w:b w:val="0"/>
          <w:color w:val="111111"/>
          <w:sz w:val="22"/>
        </w:rPr>
        <w:t>确定性 driver（原文）：观察等待：先放入观察池，只在证据密度和价格确认同时改善时进入组合。解释上，平台再分层逻辑仍成立，但模型价格战、商业化分化和可通电容量约束意味着名义 capex 不能直接等同于收入质量或自由现金流改善。</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MSFT、META、AMZN、GOOGL、NVDA等应按云增长、已锁定算力、电力合同和自由现金流逐一筛选，而非继续作为同质化篮子配置；在capex与变现同步确认前维持观察。</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17">
        <w:r>
          <w:rPr>
            <w:color w:val="1D5FD1"/>
            <w:u w:val="single"/>
            <w:sz w:val="17"/>
            <w:szCs w:val="17"/>
            <w:rFonts w:ascii="Calibri" w:hAnsi="Calibri" w:eastAsia="Hiragino Sans GB"/>
          </w:rPr>
          <w:t>R1</w:t>
        </w:r>
      </w:hyperlink>
      <w:r>
        <w:t xml:space="preserve"> · </w:t>
      </w:r>
      <w:hyperlink r:id="rId33">
        <w:r>
          <w:rPr>
            <w:color w:val="1D5FD1"/>
            <w:u w:val="single"/>
            <w:sz w:val="17"/>
            <w:szCs w:val="17"/>
            <w:rFonts w:ascii="Calibri" w:hAnsi="Calibri" w:eastAsia="Hiragino Sans GB"/>
          </w:rPr>
          <w:t>R2</w:t>
        </w:r>
      </w:hyperlink>
      <w:r>
        <w:t xml:space="preserve"> · </w:t>
      </w:r>
      <w:hyperlink r:id="rId34">
        <w:r>
          <w:rPr>
            <w:color w:val="1D5FD1"/>
            <w:u w:val="single"/>
            <w:sz w:val="17"/>
            <w:szCs w:val="17"/>
            <w:rFonts w:ascii="Calibri" w:hAnsi="Calibri" w:eastAsia="Hiragino Sans GB"/>
          </w:rPr>
          <w:t>R3</w:t>
        </w:r>
      </w:hyperlink>
      <w:r>
        <w:t xml:space="preserve"> · </w:t>
      </w:r>
      <w:hyperlink r:id="rId35">
        <w:r>
          <w:rPr>
            <w:color w:val="1D5FD1"/>
            <w:u w:val="single"/>
            <w:sz w:val="17"/>
            <w:szCs w:val="17"/>
            <w:rFonts w:ascii="Calibri" w:hAnsi="Calibri" w:eastAsia="Hiragino Sans GB"/>
          </w:rPr>
          <w:t>对应 Thesis</w:t>
        </w:r>
      </w:hyperlink>
    </w:p>
    <w:p>
      <w:pPr>
        <w:pStyle w:val="Heading1"/>
      </w:pPr>
      <w:r>
        <w:t>4. 本周真正改变了什么</w:t>
      </w:r>
    </w:p>
    <w:p>
      <w:pPr>
        <w:keepNext/>
      </w:pPr>
      <w:r>
        <w:rPr>
          <w:rFonts w:ascii="Calibri" w:hAnsi="Calibri" w:eastAsia="Hiragino Sans GB"/>
          <w:b/>
          <w:color w:val="D85B16"/>
          <w:sz w:val="18"/>
        </w:rPr>
        <w:t xml:space="preserve">01  SPLIT  </w:t>
      </w:r>
      <w:r>
        <w:rPr>
          <w:rFonts w:ascii="Calibri" w:hAnsi="Calibri" w:eastAsia="Hiragino Sans GB"/>
          <w:b/>
          <w:color w:val="111111"/>
          <w:sz w:val="22"/>
        </w:rPr>
        <w:t>AI再通胀主线由单向判断转为双向情景</w:t>
      </w:r>
    </w:p>
    <w:p>
      <w:pPr>
        <w:keepLines w:val="0"/>
      </w:pPr>
      <w:r>
        <w:rPr>
          <w:rFonts w:ascii="Calibri" w:hAnsi="Calibri" w:eastAsia="Hiragino Sans GB"/>
          <w:b w:val="0"/>
          <w:color w:val="111111"/>
          <w:sz w:val="22"/>
        </w:rPr>
        <w:t>W29 standing thesis 强调AI资本开支经能源、设备和利率进入通胀定价；W30新增证据表明，容量费和电价传导可能推升服务通胀，但并网及信用约束也可能先造成项目滑期、固定投资延后和短期需求降温。主线仍重要，却不再支持单向押注实际利率上行。</w:t>
      </w:r>
    </w:p>
    <w:p>
      <w:pPr>
        <w:pStyle w:val="TableCitation"/>
      </w:pPr>
      <w:r>
        <w:t>关联标的：</w:t>
      </w:r>
      <w:hyperlink r:id="rId36">
        <w:r>
          <w:rPr>
            <w:color w:val="1D5FD1"/>
            <w:u w:val="single"/>
            <w:sz w:val="17"/>
            <w:szCs w:val="17"/>
            <w:rFonts w:ascii="Calibri" w:hAnsi="Calibri" w:eastAsia="Hiragino Sans GB"/>
          </w:rPr>
          <w:t>GEV</w:t>
        </w:r>
      </w:hyperlink>
      <w:r>
        <w:t xml:space="preserve"> · </w:t>
      </w:r>
      <w:hyperlink r:id="rId37">
        <w:r>
          <w:rPr>
            <w:color w:val="1D5FD1"/>
            <w:u w:val="single"/>
            <w:sz w:val="17"/>
            <w:szCs w:val="17"/>
            <w:rFonts w:ascii="Calibri" w:hAnsi="Calibri" w:eastAsia="Hiragino Sans GB"/>
          </w:rPr>
          <w:t>CEG</w:t>
        </w:r>
      </w:hyperlink>
      <w:r>
        <w:t xml:space="preserve"> · </w:t>
      </w:r>
      <w:hyperlink r:id="rId38">
        <w:r>
          <w:rPr>
            <w:color w:val="1D5FD1"/>
            <w:u w:val="single"/>
            <w:sz w:val="17"/>
            <w:szCs w:val="17"/>
            <w:rFonts w:ascii="Calibri" w:hAnsi="Calibri" w:eastAsia="Hiragino Sans GB"/>
          </w:rPr>
          <w:t>VST</w:t>
        </w:r>
      </w:hyperlink>
      <w:r>
        <w:t xml:space="preserve"> · </w:t>
      </w:r>
      <w:hyperlink r:id="rId39">
        <w:r>
          <w:rPr>
            <w:color w:val="1D5FD1"/>
            <w:u w:val="single"/>
            <w:sz w:val="17"/>
            <w:szCs w:val="17"/>
            <w:rFonts w:ascii="Calibri" w:hAnsi="Calibri" w:eastAsia="Hiragino Sans GB"/>
          </w:rPr>
          <w:t>XLU</w:t>
        </w:r>
      </w:hyperlink>
      <w:r>
        <w:t xml:space="preserve"> · </w:t>
      </w:r>
      <w:hyperlink r:id="rId40">
        <w:r>
          <w:rPr>
            <w:color w:val="1D5FD1"/>
            <w:u w:val="single"/>
            <w:sz w:val="17"/>
            <w:szCs w:val="17"/>
            <w:rFonts w:ascii="Calibri" w:hAnsi="Calibri" w:eastAsia="Hiragino Sans GB"/>
          </w:rPr>
          <w:t>TLT</w:t>
        </w:r>
      </w:hyperlink>
      <w:r>
        <w:t xml:space="preserve"> · </w:t>
      </w:r>
      <w:hyperlink r:id="rId41">
        <w:r>
          <w:rPr>
            <w:color w:val="1D5FD1"/>
            <w:u w:val="single"/>
            <w:sz w:val="17"/>
            <w:szCs w:val="17"/>
            <w:rFonts w:ascii="Calibri" w:hAnsi="Calibri" w:eastAsia="Hiragino Sans GB"/>
          </w:rPr>
          <w:t>IEF</w:t>
        </w:r>
      </w:hyperlink>
    </w:p>
    <w:p>
      <w:pPr>
        <w:keepNext/>
      </w:pPr>
      <w:r>
        <w:rPr>
          <w:rFonts w:ascii="Calibri" w:hAnsi="Calibri" w:eastAsia="Hiragino Sans GB"/>
          <w:b/>
          <w:color w:val="D85B16"/>
          <w:sz w:val="18"/>
        </w:rPr>
        <w:t xml:space="preserve">02  WEAKENED  </w:t>
      </w:r>
      <w:r>
        <w:rPr>
          <w:rFonts w:ascii="Calibri" w:hAnsi="Calibri" w:eastAsia="Hiragino Sans GB"/>
          <w:b/>
          <w:color w:val="111111"/>
          <w:sz w:val="22"/>
        </w:rPr>
        <w:t>AI算力半导体从需求总量交易转向盈利质量筛选</w:t>
      </w:r>
    </w:p>
    <w:p>
      <w:pPr>
        <w:keepLines w:val="0"/>
      </w:pPr>
      <w:r>
        <w:rPr>
          <w:rFonts w:ascii="Calibri" w:hAnsi="Calibri" w:eastAsia="Hiragino Sans GB"/>
          <w:b w:val="0"/>
          <w:color w:val="111111"/>
          <w:sz w:val="22"/>
        </w:rPr>
        <w:t>W29 standing thesis 将NAND盈利弹性归因于单位价格与产品结构，而非单纯出货；W30压力测试进一步确认稀缺盈利存在，但尚未全面扩散，同时先进封装良率、并网时序和光电集成约束提高了交付不确定性。因此，主线由可扩散的需求逻辑弱化为少数公司的订单、结构和现金流验证。</w:t>
      </w:r>
    </w:p>
    <w:p>
      <w:pPr>
        <w:pStyle w:val="TableCitation"/>
      </w:pPr>
      <w:r>
        <w:t>关联标的：</w:t>
      </w:r>
      <w:hyperlink r:id="rId42">
        <w:r>
          <w:rPr>
            <w:color w:val="1D5FD1"/>
            <w:u w:val="single"/>
            <w:sz w:val="17"/>
            <w:szCs w:val="17"/>
            <w:rFonts w:ascii="Calibri" w:hAnsi="Calibri" w:eastAsia="Hiragino Sans GB"/>
          </w:rPr>
          <w:t>NVDA</w:t>
        </w:r>
      </w:hyperlink>
      <w:r>
        <w:t xml:space="preserve"> · </w:t>
      </w:r>
      <w:hyperlink r:id="rId43">
        <w:r>
          <w:rPr>
            <w:color w:val="1D5FD1"/>
            <w:u w:val="single"/>
            <w:sz w:val="17"/>
            <w:szCs w:val="17"/>
            <w:rFonts w:ascii="Calibri" w:hAnsi="Calibri" w:eastAsia="Hiragino Sans GB"/>
          </w:rPr>
          <w:t>TSM</w:t>
        </w:r>
      </w:hyperlink>
      <w:r>
        <w:t xml:space="preserve"> · </w:t>
      </w:r>
      <w:hyperlink r:id="rId44">
        <w:r>
          <w:rPr>
            <w:color w:val="1D5FD1"/>
            <w:u w:val="single"/>
            <w:sz w:val="17"/>
            <w:szCs w:val="17"/>
            <w:rFonts w:ascii="Calibri" w:hAnsi="Calibri" w:eastAsia="Hiragino Sans GB"/>
          </w:rPr>
          <w:t>MU</w:t>
        </w:r>
      </w:hyperlink>
      <w:r>
        <w:t xml:space="preserve"> · </w:t>
      </w:r>
      <w:hyperlink r:id="rId45">
        <w:r>
          <w:rPr>
            <w:color w:val="1D5FD1"/>
            <w:u w:val="single"/>
            <w:sz w:val="17"/>
            <w:szCs w:val="17"/>
            <w:rFonts w:ascii="Calibri" w:hAnsi="Calibri" w:eastAsia="Hiragino Sans GB"/>
          </w:rPr>
          <w:t>000660.KS</w:t>
        </w:r>
      </w:hyperlink>
      <w:r>
        <w:t xml:space="preserve"> · </w:t>
      </w:r>
      <w:hyperlink r:id="rId46">
        <w:r>
          <w:rPr>
            <w:color w:val="1D5FD1"/>
            <w:u w:val="single"/>
            <w:sz w:val="17"/>
            <w:szCs w:val="17"/>
            <w:rFonts w:ascii="Calibri" w:hAnsi="Calibri" w:eastAsia="Hiragino Sans GB"/>
          </w:rPr>
          <w:t>AMD</w:t>
        </w:r>
      </w:hyperlink>
      <w:r>
        <w:t xml:space="preserve"> · </w:t>
      </w:r>
      <w:hyperlink r:id="rId47">
        <w:r>
          <w:rPr>
            <w:color w:val="1D5FD1"/>
            <w:u w:val="single"/>
            <w:sz w:val="17"/>
            <w:szCs w:val="17"/>
            <w:rFonts w:ascii="Calibri" w:hAnsi="Calibri" w:eastAsia="Hiragino Sans GB"/>
          </w:rPr>
          <w:t>AVGO</w:t>
        </w:r>
      </w:hyperlink>
    </w:p>
    <w:p>
      <w:pPr>
        <w:keepNext/>
      </w:pPr>
      <w:r>
        <w:rPr>
          <w:rFonts w:ascii="Calibri" w:hAnsi="Calibri" w:eastAsia="Hiragino Sans GB"/>
          <w:b/>
          <w:color w:val="D85B16"/>
          <w:sz w:val="18"/>
        </w:rPr>
        <w:t xml:space="preserve">03  SPLIT  </w:t>
      </w:r>
      <w:r>
        <w:rPr>
          <w:rFonts w:ascii="Calibri" w:hAnsi="Calibri" w:eastAsia="Hiragino Sans GB"/>
          <w:b/>
          <w:color w:val="111111"/>
          <w:sz w:val="22"/>
        </w:rPr>
        <w:t>A股杠铃发生内部失衡，挑战“两腿互补”的主导观点</w:t>
      </w:r>
    </w:p>
    <w:p>
      <w:pPr>
        <w:keepLines w:val="0"/>
      </w:pPr>
      <w:r>
        <w:rPr>
          <w:rFonts w:ascii="Calibri" w:hAnsi="Calibri" w:eastAsia="Hiragino Sans GB"/>
          <w:b w:val="0"/>
          <w:color w:val="111111"/>
          <w:sz w:val="22"/>
        </w:rPr>
        <w:t>W29 standing thesis 把红利与硬科技视为政策、利率和风险偏好的组合表达；W30新增证据却显示，红利腿仍有银行质量与公用事业支撑，硬科技腿则受到两融、ETF拥挤、指数调样和良率验证压力，且A股硬科技/科创50已由NEUTRAL下调至UNDERWEIGHT。杠铃仍可观察，但不能继续把两腿当作对称配置。</w:t>
      </w:r>
    </w:p>
    <w:p>
      <w:pPr>
        <w:pStyle w:val="TableCitation"/>
      </w:pPr>
      <w:r>
        <w:t>关联标的：</w:t>
      </w:r>
      <w:hyperlink r:id="rId48">
        <w:r>
          <w:rPr>
            <w:color w:val="1D5FD1"/>
            <w:u w:val="single"/>
            <w:sz w:val="17"/>
            <w:szCs w:val="17"/>
            <w:rFonts w:ascii="Calibri" w:hAnsi="Calibri" w:eastAsia="Hiragino Sans GB"/>
          </w:rPr>
          <w:t>510880.SH</w:t>
        </w:r>
      </w:hyperlink>
      <w:r>
        <w:t xml:space="preserve"> · </w:t>
      </w:r>
      <w:hyperlink r:id="rId49">
        <w:r>
          <w:rPr>
            <w:color w:val="1D5FD1"/>
            <w:u w:val="single"/>
            <w:sz w:val="17"/>
            <w:szCs w:val="17"/>
            <w:rFonts w:ascii="Calibri" w:hAnsi="Calibri" w:eastAsia="Hiragino Sans GB"/>
          </w:rPr>
          <w:t>601398.SH</w:t>
        </w:r>
      </w:hyperlink>
      <w:r>
        <w:t xml:space="preserve"> · </w:t>
      </w:r>
      <w:hyperlink r:id="rId50">
        <w:r>
          <w:rPr>
            <w:color w:val="1D5FD1"/>
            <w:u w:val="single"/>
            <w:sz w:val="17"/>
            <w:szCs w:val="17"/>
            <w:rFonts w:ascii="Calibri" w:hAnsi="Calibri" w:eastAsia="Hiragino Sans GB"/>
          </w:rPr>
          <w:t>600900.SH</w:t>
        </w:r>
      </w:hyperlink>
      <w:r>
        <w:t xml:space="preserve"> · </w:t>
      </w:r>
      <w:hyperlink r:id="rId51">
        <w:r>
          <w:rPr>
            <w:color w:val="1D5FD1"/>
            <w:u w:val="single"/>
            <w:sz w:val="17"/>
            <w:szCs w:val="17"/>
            <w:rFonts w:ascii="Calibri" w:hAnsi="Calibri" w:eastAsia="Hiragino Sans GB"/>
          </w:rPr>
          <w:t>588000.SH</w:t>
        </w:r>
      </w:hyperlink>
      <w:r>
        <w:t xml:space="preserve"> · </w:t>
      </w:r>
      <w:hyperlink r:id="rId52">
        <w:r>
          <w:rPr>
            <w:color w:val="1D5FD1"/>
            <w:u w:val="single"/>
            <w:sz w:val="17"/>
            <w:szCs w:val="17"/>
            <w:rFonts w:ascii="Calibri" w:hAnsi="Calibri" w:eastAsia="Hiragino Sans GB"/>
          </w:rPr>
          <w:t>688981.SH</w:t>
        </w:r>
      </w:hyperlink>
      <w:r>
        <w:t xml:space="preserve"> · </w:t>
      </w:r>
      <w:hyperlink r:id="rId53">
        <w:r>
          <w:rPr>
            <w:color w:val="1D5FD1"/>
            <w:u w:val="single"/>
            <w:sz w:val="17"/>
            <w:szCs w:val="17"/>
            <w:rFonts w:ascii="Calibri" w:hAnsi="Calibri" w:eastAsia="Hiragino Sans GB"/>
          </w:rPr>
          <w:t>300308.SZ</w:t>
        </w:r>
      </w:hyperlink>
    </w:p>
    <w:p>
      <w:pPr>
        <w:keepNext/>
      </w:pPr>
      <w:r>
        <w:rPr>
          <w:rFonts w:ascii="Calibri" w:hAnsi="Calibri" w:eastAsia="Hiragino Sans GB"/>
          <w:b/>
          <w:color w:val="D85B16"/>
          <w:sz w:val="18"/>
        </w:rPr>
        <w:t xml:space="preserve">04  WEAKENED  </w:t>
      </w:r>
      <w:r>
        <w:rPr>
          <w:rFonts w:ascii="Calibri" w:hAnsi="Calibri" w:eastAsia="Hiragino Sans GB"/>
          <w:b/>
          <w:color w:val="111111"/>
          <w:sz w:val="22"/>
        </w:rPr>
        <w:t>中国资产政策支持仍在，但流动性确认不足</w:t>
      </w:r>
    </w:p>
    <w:p>
      <w:pPr>
        <w:keepLines w:val="0"/>
      </w:pPr>
      <w:r>
        <w:rPr>
          <w:rFonts w:ascii="Calibri" w:hAnsi="Calibri" w:eastAsia="Hiragino Sans GB"/>
          <w:b w:val="0"/>
          <w:color w:val="111111"/>
          <w:sz w:val="22"/>
        </w:rPr>
        <w:t>W29 standing thesis 强调政策、流动性和风险偏好的共同驱动；W30人民币路径、出口链和内需政策研究继续提供支持，但微观结构证据没有证明融资、ETF承接与跨境风险偏好已形成合力。变化不是政策逻辑失效，而是执行条件由宏观预期进一步收紧为可观察的流动性三联确认。</w:t>
      </w:r>
    </w:p>
    <w:p>
      <w:pPr>
        <w:pStyle w:val="TableCitation"/>
      </w:pPr>
      <w:r>
        <w:t>关联标的：</w:t>
      </w:r>
      <w:hyperlink r:id="rId54">
        <w:r>
          <w:rPr>
            <w:color w:val="1D5FD1"/>
            <w:u w:val="single"/>
            <w:sz w:val="17"/>
            <w:szCs w:val="17"/>
            <w:rFonts w:ascii="Calibri" w:hAnsi="Calibri" w:eastAsia="Hiragino Sans GB"/>
          </w:rPr>
          <w:t>510300.SH</w:t>
        </w:r>
      </w:hyperlink>
      <w:r>
        <w:t xml:space="preserve"> · </w:t>
      </w:r>
      <w:hyperlink r:id="rId55">
        <w:r>
          <w:rPr>
            <w:color w:val="1D5FD1"/>
            <w:u w:val="single"/>
            <w:sz w:val="17"/>
            <w:szCs w:val="17"/>
            <w:rFonts w:ascii="Calibri" w:hAnsi="Calibri" w:eastAsia="Hiragino Sans GB"/>
          </w:rPr>
          <w:t>159915.SZ</w:t>
        </w:r>
      </w:hyperlink>
      <w:r>
        <w:t xml:space="preserve"> · </w:t>
      </w:r>
      <w:hyperlink r:id="rId56">
        <w:r>
          <w:rPr>
            <w:color w:val="1D5FD1"/>
            <w:u w:val="single"/>
            <w:sz w:val="17"/>
            <w:szCs w:val="17"/>
            <w:rFonts w:ascii="Calibri" w:hAnsi="Calibri" w:eastAsia="Hiragino Sans GB"/>
          </w:rPr>
          <w:t>2800.HK</w:t>
        </w:r>
      </w:hyperlink>
      <w:r>
        <w:t xml:space="preserve"> · </w:t>
      </w:r>
      <w:hyperlink r:id="rId57">
        <w:r>
          <w:rPr>
            <w:color w:val="1D5FD1"/>
            <w:u w:val="single"/>
            <w:sz w:val="17"/>
            <w:szCs w:val="17"/>
            <w:rFonts w:ascii="Calibri" w:hAnsi="Calibri" w:eastAsia="Hiragino Sans GB"/>
          </w:rPr>
          <w:t>0700.HK</w:t>
        </w:r>
      </w:hyperlink>
      <w:r>
        <w:t xml:space="preserve"> · </w:t>
      </w:r>
      <w:hyperlink r:id="rId58">
        <w:r>
          <w:rPr>
            <w:color w:val="1D5FD1"/>
            <w:u w:val="single"/>
            <w:sz w:val="17"/>
            <w:szCs w:val="17"/>
            <w:rFonts w:ascii="Calibri" w:hAnsi="Calibri" w:eastAsia="Hiragino Sans GB"/>
          </w:rPr>
          <w:t>9988.HK</w:t>
        </w:r>
      </w:hyperlink>
    </w:p>
    <w:p>
      <w:pPr>
        <w:keepNext/>
      </w:pPr>
      <w:r>
        <w:rPr>
          <w:rFonts w:ascii="Calibri" w:hAnsi="Calibri" w:eastAsia="Hiragino Sans GB"/>
          <w:b/>
          <w:color w:val="D85B16"/>
          <w:sz w:val="18"/>
        </w:rPr>
        <w:t xml:space="preserve">05  STRENGTHENED  </w:t>
      </w:r>
      <w:r>
        <w:rPr>
          <w:rFonts w:ascii="Calibri" w:hAnsi="Calibri" w:eastAsia="Hiragino Sans GB"/>
          <w:b/>
          <w:color w:val="111111"/>
          <w:sz w:val="22"/>
        </w:rPr>
        <w:t>AI平台再分层逻辑保留，但验证标准升级</w:t>
      </w:r>
    </w:p>
    <w:p>
      <w:pPr>
        <w:keepLines w:val="0"/>
      </w:pPr>
      <w:r>
        <w:rPr>
          <w:rFonts w:ascii="Calibri" w:hAnsi="Calibri" w:eastAsia="Hiragino Sans GB"/>
          <w:b w:val="0"/>
          <w:color w:val="111111"/>
          <w:sz w:val="22"/>
        </w:rPr>
        <w:t>W29 standing thesis 关注Mag7从平台垄断向基础设施再分层；W30模型价格战与商业化分化强化了内部筛选的必要性，同时并网瓶颈要求把云厂商名义capex折算为已锁定兆瓦、可靠并网日和受保护的成本分摊。研究方向未变，但仅有资本开支增长已不足以提升判断。</w:t>
      </w:r>
    </w:p>
    <w:p>
      <w:pPr>
        <w:pStyle w:val="TableCitation"/>
      </w:pPr>
      <w:r>
        <w:t>关联标的：</w:t>
      </w:r>
      <w:hyperlink r:id="rId59">
        <w:r>
          <w:rPr>
            <w:color w:val="1D5FD1"/>
            <w:u w:val="single"/>
            <w:sz w:val="17"/>
            <w:szCs w:val="17"/>
            <w:rFonts w:ascii="Calibri" w:hAnsi="Calibri" w:eastAsia="Hiragino Sans GB"/>
          </w:rPr>
          <w:t>MSFT</w:t>
        </w:r>
      </w:hyperlink>
      <w:r>
        <w:t xml:space="preserve"> · </w:t>
      </w:r>
      <w:hyperlink r:id="rId60">
        <w:r>
          <w:rPr>
            <w:color w:val="1D5FD1"/>
            <w:u w:val="single"/>
            <w:sz w:val="17"/>
            <w:szCs w:val="17"/>
            <w:rFonts w:ascii="Calibri" w:hAnsi="Calibri" w:eastAsia="Hiragino Sans GB"/>
          </w:rPr>
          <w:t>META</w:t>
        </w:r>
      </w:hyperlink>
      <w:r>
        <w:t xml:space="preserve"> · </w:t>
      </w:r>
      <w:hyperlink r:id="rId61">
        <w:r>
          <w:rPr>
            <w:color w:val="1D5FD1"/>
            <w:u w:val="single"/>
            <w:sz w:val="17"/>
            <w:szCs w:val="17"/>
            <w:rFonts w:ascii="Calibri" w:hAnsi="Calibri" w:eastAsia="Hiragino Sans GB"/>
          </w:rPr>
          <w:t>AMZN</w:t>
        </w:r>
      </w:hyperlink>
      <w:r>
        <w:t xml:space="preserve"> · </w:t>
      </w:r>
      <w:hyperlink r:id="rId62">
        <w:r>
          <w:rPr>
            <w:color w:val="1D5FD1"/>
            <w:u w:val="single"/>
            <w:sz w:val="17"/>
            <w:szCs w:val="17"/>
            <w:rFonts w:ascii="Calibri" w:hAnsi="Calibri" w:eastAsia="Hiragino Sans GB"/>
          </w:rPr>
          <w:t>GOOGL</w:t>
        </w:r>
      </w:hyperlink>
      <w:r>
        <w:t xml:space="preserve"> · </w:t>
      </w:r>
      <w:hyperlink r:id="rId42">
        <w:r>
          <w:rPr>
            <w:color w:val="1D5FD1"/>
            <w:u w:val="single"/>
            <w:sz w:val="17"/>
            <w:szCs w:val="17"/>
            <w:rFonts w:ascii="Calibri" w:hAnsi="Calibri" w:eastAsia="Hiragino Sans GB"/>
          </w:rPr>
          <w:t>NVDA</w:t>
        </w:r>
      </w:hyperlink>
      <w:r>
        <w:t xml:space="preserve"> · </w:t>
      </w:r>
      <w:hyperlink r:id="rId63">
        <w:r>
          <w:rPr>
            <w:color w:val="1D5FD1"/>
            <w:u w:val="single"/>
            <w:sz w:val="17"/>
            <w:szCs w:val="17"/>
            <w:rFonts w:ascii="Calibri" w:hAnsi="Calibri" w:eastAsia="Hiragino Sans GB"/>
          </w:rPr>
          <w:t>AAPL</w:t>
        </w:r>
      </w:hyperlink>
    </w:p>
    <w:p>
      <w:pPr>
        <w:pStyle w:val="Heading1"/>
      </w:pPr>
      <w:r>
        <w:t>5. 赛道配置与下一催化</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600"/>
        <w:gridCol w:w="1250"/>
        <w:gridCol w:w="2300"/>
        <w:gridCol w:w="2550"/>
        <w:gridCol w:w="2660"/>
      </w:tblGrid>
      <w:tr>
        <w:trPr>
          <w:cantSplit/>
          <w:tblHeader w:val="true"/>
        </w:trPr>
        <w:tc>
          <w:tcPr>
            <w:tcW w:type="dxa" w:w="6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RANK</w:t>
            </w:r>
          </w:p>
        </w:tc>
        <w:tc>
          <w:tcPr>
            <w:tcW w:type="dxa" w:w="12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STANCE</w:t>
            </w:r>
          </w:p>
        </w:tc>
        <w:tc>
          <w:tcPr>
            <w:tcW w:type="dxa" w:w="23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LANE</w:t>
            </w:r>
          </w:p>
        </w:tc>
        <w:tc>
          <w:tcPr>
            <w:tcW w:type="dxa" w:w="25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NEXT CATALYST</w:t>
            </w:r>
          </w:p>
        </w:tc>
        <w:tc>
          <w:tcPr>
            <w:tcW w:type="dxa" w:w="26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KEY EXPOSURES</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8864B"/>
                <w:sz w:val="15"/>
              </w:rPr>
              <w:t>OVERWEIGHT</w:t>
            </w:r>
          </w:p>
        </w:tc>
        <w:tc>
          <w:tcPr>
            <w:tcW w:type="dxa" w:w="2300"/>
            <w:tcMar>
              <w:top w:w="80" w:type="dxa"/>
              <w:bottom w:w="80" w:type="dxa"/>
              <w:start w:w="120" w:type="dxa"/>
              <w:end w:w="120" w:type="dxa"/>
            </w:tcMar>
          </w:tcPr>
          <w:p>
            <w:hyperlink r:id="rId64">
              <w:r>
                <w:rPr>
                  <w:color w:val="1D5FD1"/>
                  <w:u w:val="single"/>
                  <w:b/>
                  <w:sz w:val="16"/>
                  <w:szCs w:val="16"/>
                  <w:rFonts w:ascii="Calibri" w:hAnsi="Calibri" w:eastAsia="Hiragino Sans GB"/>
                </w:rPr>
                <w:t>AI 电力/电网设备</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并网排队和变压器交期是否继续拉长</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GEV · 002028.SZ · ETN · 600089.SH · CEG · VST</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2</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65">
              <w:r>
                <w:rPr>
                  <w:color w:val="1D5FD1"/>
                  <w:u w:val="single"/>
                  <w:b/>
                  <w:sz w:val="16"/>
                  <w:szCs w:val="16"/>
                  <w:rFonts w:ascii="Calibri" w:hAnsi="Calibri" w:eastAsia="Hiragino Sans GB"/>
                </w:rPr>
                <w:t>A股半导体/两融负 Gamma</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688256.SH · 588000.SH · 688981.SH · 0981.HK · 688041.SH · 688008.SH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3</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66">
              <w:r>
                <w:rPr>
                  <w:color w:val="1D5FD1"/>
                  <w:u w:val="single"/>
                  <w:b/>
                  <w:sz w:val="16"/>
                  <w:szCs w:val="16"/>
                  <w:rFonts w:ascii="Calibri" w:hAnsi="Calibri" w:eastAsia="Hiragino Sans GB"/>
                </w:rPr>
                <w:t>A股风险偏好/两融</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588000.SH · 510300.SH · 688729.SH · 512100.SH · 301221.SZ · 688667.SH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4</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67">
              <w:r>
                <w:rPr>
                  <w:color w:val="1D5FD1"/>
                  <w:u w:val="single"/>
                  <w:b/>
                  <w:sz w:val="16"/>
                  <w:szCs w:val="16"/>
                  <w:rFonts w:ascii="Calibri" w:hAnsi="Calibri" w:eastAsia="Hiragino Sans GB"/>
                </w:rPr>
                <w:t>先进封装/HBM4 闸门</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云厂商 capex 指引是否继续上修</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TSM · NVDA · MU · 000660.KS · ASML · 002916.SZ</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5</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12">
              <w:r>
                <w:rPr>
                  <w:color w:val="1D5FD1"/>
                  <w:u w:val="single"/>
                  <w:b/>
                  <w:sz w:val="16"/>
                  <w:szCs w:val="16"/>
                  <w:rFonts w:ascii="Calibri" w:hAnsi="Calibri" w:eastAsia="Hiragino Sans GB"/>
                </w:rPr>
                <w:t>AI 算力半导体</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NVDA · TSM · META · AMD · AVGO · MU</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6</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68">
              <w:r>
                <w:rPr>
                  <w:color w:val="1D5FD1"/>
                  <w:u w:val="single"/>
                  <w:b/>
                  <w:sz w:val="16"/>
                  <w:szCs w:val="16"/>
                  <w:rFonts w:ascii="Calibri" w:hAnsi="Calibri" w:eastAsia="Hiragino Sans GB"/>
                </w:rPr>
                <w:t>油气/地缘通胀</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油价和金属缺口是否从成本冲击变成需求破坏</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0883.HK · SLB · OXY · CVX · XOM · 0857.HK</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7</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69">
              <w:r>
                <w:rPr>
                  <w:color w:val="1D5FD1"/>
                  <w:u w:val="single"/>
                  <w:b/>
                  <w:sz w:val="16"/>
                  <w:szCs w:val="16"/>
                  <w:rFonts w:ascii="Calibri" w:hAnsi="Calibri" w:eastAsia="Hiragino Sans GB"/>
                </w:rPr>
                <w:t>美债利率/美元再定价</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TLT · IEF · JPM · CME · GLD · MSFT</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8</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70">
              <w:r>
                <w:rPr>
                  <w:color w:val="1D5FD1"/>
                  <w:u w:val="single"/>
                  <w:b/>
                  <w:sz w:val="16"/>
                  <w:szCs w:val="16"/>
                  <w:rFonts w:ascii="Calibri" w:hAnsi="Calibri" w:eastAsia="Hiragino Sans GB"/>
                </w:rPr>
                <w:t>A股硬科技/科创50</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588000.SH · 300308.SZ · 688256.SH · 688981.SH · 688008.SH · 688041.SH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9</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71">
              <w:r>
                <w:rPr>
                  <w:color w:val="1D5FD1"/>
                  <w:u w:val="single"/>
                  <w:b/>
                  <w:sz w:val="16"/>
                  <w:szCs w:val="16"/>
                  <w:rFonts w:ascii="Calibri" w:hAnsi="Calibri" w:eastAsia="Hiragino Sans GB"/>
                </w:rPr>
                <w:t>日元套息/EM 科技流动性</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TSM · KWEB · FXY · NVDA · CME · 000660.KS</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10</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72">
              <w:r>
                <w:rPr>
                  <w:color w:val="1D5FD1"/>
                  <w:u w:val="single"/>
                  <w:b/>
                  <w:sz w:val="16"/>
                  <w:szCs w:val="16"/>
                  <w:rFonts w:ascii="Calibri" w:hAnsi="Calibri" w:eastAsia="Hiragino Sans GB"/>
                </w:rPr>
                <w:t>食品加工/成本传导</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600298.SH · 001215.SZ · 603027.SH · 300973.SZ · 603317.SH · 002847.SZ</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11</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73">
              <w:r>
                <w:rPr>
                  <w:color w:val="1D5FD1"/>
                  <w:u w:val="single"/>
                  <w:b/>
                  <w:sz w:val="16"/>
                  <w:szCs w:val="16"/>
                  <w:rFonts w:ascii="Calibri" w:hAnsi="Calibri" w:eastAsia="Hiragino Sans GB"/>
                </w:rPr>
                <w:t>中国大健康/创新药出海</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1801.HK · 600276.SH · 2359.HK · 9926.HK · 2269.HK · 603259.SH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12</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74">
              <w:r>
                <w:rPr>
                  <w:color w:val="1D5FD1"/>
                  <w:u w:val="single"/>
                  <w:b/>
                  <w:sz w:val="16"/>
                  <w:szCs w:val="16"/>
                  <w:rFonts w:ascii="Calibri" w:hAnsi="Calibri" w:eastAsia="Hiragino Sans GB"/>
                </w:rPr>
                <w:t>公用事业/电网信用</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并网排队和变压器交期是否继续拉长</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600900.SH · CEG · AEP · DUK · 600025.SH · 003816.SZ</w:t>
            </w:r>
          </w:p>
        </w:tc>
      </w:tr>
    </w:tbl>
    <w:p>
      <w:pPr>
        <w:pStyle w:val="Heading1"/>
      </w:pPr>
      <w:r>
        <w:t>6. 关键分歧：保留正反两面</w:t>
      </w:r>
    </w:p>
    <w:p>
      <w:pPr>
        <w:pStyle w:val="Heading2"/>
      </w:pPr>
      <w:r>
        <w:t>01 · AI电力瓶颈究竟是再通胀，还是短期需求破坏</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容量费、电网扩容和大负荷接入成本可能经费率机制传导至能源服务价格，同时设备短缺延长资本开支周期，支持AI再通胀与电网设备主线。</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并网和信用约束也可能先推迟数据中心建设，使名义capex无法转化为固定投资与用电需求；若项目滑期主导，短期通胀脉冲和设备兑现都可能弱于预期。</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同时观察已锁定兆瓦、可靠并网日、大负荷费率保护、设备交期以及CPI/PCE能源服务项；只有物理交付与通胀数据同向，才能确认主导机制。</w:t>
            </w:r>
          </w:p>
        </w:tc>
      </w:tr>
    </w:tbl>
    <w:p>
      <w:pPr>
        <w:pStyle w:val="Heading2"/>
      </w:pPr>
      <w:r>
        <w:t>02 · Mag7高资本开支能否转化为平台盈利分层</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云厂商继续建设AI基础设施，并通过模型降本、Agent化和平台分发扩大使用量，可能强化拥有云、数据和分发入口的平台优势。</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模型价格战会压缩单位经济性；若并网落后于服务器采购，资本开支可能先形成折旧和现金流压力，而非同步形成可变现收入。</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核对云厂商capex指引、AI收入与云增长、自由现金流、已通电容量和电力合同覆盖率是否同步改善。</w:t>
            </w:r>
          </w:p>
        </w:tc>
      </w:tr>
    </w:tbl>
    <w:p>
      <w:pPr>
        <w:pStyle w:val="Heading2"/>
      </w:pPr>
      <w:r>
        <w:t>03 · A股政策支持能否穿透微观流动性约束</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人民币路径、出口链盈利和内需政策信号若相互配合，可改善中国资产的风险预算与结构性机会。红利资产还具备质量筛选和现金流防线。</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两融、ETF被动化、指数调样与中小盘折价可能令政策利好停留在局部；硬科技拥挤度和基本面验证不足会使杠铃的成长腿继续拖累整体结构。</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观察融资余额、ETF申赎和北向资金是否连续同向，并要求硬科技订单、良率和盈利证据同步更新。</w:t>
            </w:r>
          </w:p>
        </w:tc>
      </w:tr>
    </w:tbl>
    <w:p>
      <w:pPr>
        <w:pStyle w:val="Heading2"/>
      </w:pPr>
      <w:r>
        <w:t>04 · NAND与半导体稀缺盈利能否扩散</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若AI与企业存储需求维持、供给纪律未被破坏，单位价格和高价值产品占比改善可继续支撑MU、000660.KS等存储链盈利韧性。</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新增供给、产品价格回落或先进封装及光电集成瓶颈扩散，都可能令盈利弹性快速反转；当前证据仅支持稀缺盈利，尚不支持行业全面扩散。</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跟踪NAND合约价格、库存、位元供给增速、企业级产品占比、毛利率指引以及先进封装良率是否同时改善。</w:t>
            </w:r>
          </w:p>
        </w:tc>
      </w:tr>
    </w:tbl>
    <w:p>
      <w:pPr>
        <w:pStyle w:val="Heading1"/>
      </w:pPr>
      <w:r>
        <w:t>7. 下周验证清单</w:t>
      </w:r>
    </w:p>
    <w:p>
      <w:pPr>
        <w:pStyle w:val="Heading2"/>
      </w:pPr>
      <w:r>
        <w:t>01 · 云厂商capex与可通电容量是否同步</w:t>
      </w:r>
    </w:p>
    <w:p>
      <w:pPr>
        <w:keepLines/>
      </w:pPr>
      <w:r>
        <w:rPr>
          <w:rFonts w:ascii="Calibri" w:hAnsi="Calibri" w:eastAsia="Hiragino Sans GB"/>
          <w:b w:val="0"/>
          <w:color w:val="5E6268"/>
          <w:sz w:val="22"/>
        </w:rPr>
        <w:t>这是区分真实基础设施扩张与未通电资本开支的核心闸门，也决定Mag7 HOLD能否获得更强确认。</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云厂商上修或维持capex指引，同时披露已签电力服务协议、已锁定兆瓦或可靠并网日改善，且自由现金流未进一步承压。</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维持Mag7整体HOLD，但把观察权重向合同质量、已通电容量和现金流更强的平台倾斜；AI算力半导体停止进一步扩张性减仓评估，仍不恢复无条件加仓。</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capex保持高位但并网日后移、项目滑期扩大、合同覆盖不足或自由现金流恶化。</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继续压低未通电云资本开支和高估值平台暴露，并执行AI算力半导体TRIM，增加组合现金与防御预算。</w:t>
            </w:r>
          </w:p>
        </w:tc>
      </w:tr>
    </w:tbl>
    <w:p>
      <w:pPr>
        <w:pStyle w:val="Heading2"/>
      </w:pPr>
      <w:r>
        <w:t>02 · CPI/PCE、油价与实际利率是否形成同向冲击</w:t>
      </w:r>
    </w:p>
    <w:p>
      <w:pPr>
        <w:keepLines/>
      </w:pPr>
      <w:r>
        <w:rPr>
          <w:rFonts w:ascii="Calibri" w:hAnsi="Calibri" w:eastAsia="Hiragino Sans GB"/>
          <w:b w:val="0"/>
          <w:color w:val="5E6268"/>
          <w:sz w:val="22"/>
        </w:rPr>
        <w:t>该组合信号将决定AI电力瓶颈是以再通胀还是建设滑期主导，并影响半导体、长久期平台和利率敏感资产。</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CPI/PCE未重新加速，油价压力受控，实际利率未被重新推高，同时数据中心交付改善。</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维持AI再通胀/利率敏感资产HOLD，优先保留订单和费率保护明确的电网设备及公用事业观察仓，不押注单一久期方向。</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CPI/PCE与油价同步上行并推高实际利率，或项目滑期继续扩大、固定投资走弱。</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降低AI算力半导体和长久期平台集中度；若由再通胀主导，收缩久期风险，若由滑期主导，则同步削减未兑现的电力与设备题材。</w:t>
            </w:r>
          </w:p>
        </w:tc>
      </w:tr>
    </w:tbl>
    <w:p>
      <w:pPr>
        <w:pStyle w:val="Heading2"/>
      </w:pPr>
      <w:r>
        <w:t>03 · A股融资、ETF申赎与北向资金三联确认</w:t>
      </w:r>
    </w:p>
    <w:p>
      <w:pPr>
        <w:keepLines/>
      </w:pPr>
      <w:r>
        <w:rPr>
          <w:rFonts w:ascii="Calibri" w:hAnsi="Calibri" w:eastAsia="Hiragino Sans GB"/>
          <w:b w:val="0"/>
          <w:color w:val="5E6268"/>
          <w:sz w:val="22"/>
        </w:rPr>
        <w:t>中国权益流动性TRIM和A股杠铃HOLD能否升级，取决于宏观政策支持是否真正穿透微观结构。</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融资余额、ETF申赎和北向资金连续同向改善，且硬科技订单、良率或盈利证据同步更新。</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中国权益仍保持已降低的风险预算；A股杠铃整体维持HOLD，仅将获得基本面和价格双重确认的一腿从观察池转为小额分批验证。</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三项指标继续背离，ETF承接集中于少数指数权重，或两融与中小盘流动性压力加剧。</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继续执行中国权益流动性TRIM，并进一步收缩硬科技腿，红利腿也只保留银行质量和公用事业现金流可验证的标的。</w:t>
            </w:r>
          </w:p>
        </w:tc>
      </w:tr>
    </w:tbl>
    <w:p>
      <w:pPr>
        <w:pStyle w:val="Heading2"/>
      </w:pPr>
      <w:r>
        <w:t>04 · NAND价格、产品结构与供给纪律</w:t>
      </w:r>
    </w:p>
    <w:p>
      <w:pPr>
        <w:keepLines/>
      </w:pPr>
      <w:r>
        <w:rPr>
          <w:rFonts w:ascii="Calibri" w:hAnsi="Calibri" w:eastAsia="Hiragino Sans GB"/>
          <w:b w:val="0"/>
          <w:color w:val="5E6268"/>
          <w:sz w:val="22"/>
        </w:rPr>
        <w:t>这是验证NAND盈利弹性是否仍由单位价格和高价值产品主导，以及AI算力半导体TRIM是否需要继续的直接指标。</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企业级存储需求、NAND合约价格、高价值产品占比和毛利率指引同步改善，且位元供给增速保持克制。</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停止进一步削减已通过订单、结构和现金流验证的存储核心暴露，但不撤销当前TRIM形成的风险控制。</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新增供给加速、合约价格转弱、库存上升或产品结构改善不足以抵消成本与良率压力。</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继续执行AI算力半导体TRIM，优先削减依赖行业价格上行和高利润率外推的存储与封装暴露。</w:t>
            </w:r>
          </w:p>
        </w:tc>
      </w:tr>
    </w:tbl>
    <w:p>
      <w:pPr>
        <w:pStyle w:val="Heading1"/>
      </w:pPr>
      <w:r>
        <w:t>8. 发布质量与数据边界</w:t>
      </w:r>
    </w:p>
    <w:p>
      <w:pPr>
        <w:keepLines w:val="0"/>
      </w:pPr>
      <w:r>
        <w:rPr>
          <w:rFonts w:ascii="Calibri" w:hAnsi="Calibri" w:eastAsia="Hiragino Sans GB"/>
          <w:b/>
          <w:color w:val="111111"/>
          <w:sz w:val="22"/>
        </w:rPr>
        <w:t>本周结构化市场报价为空，因此不发布伪精确收益归因；正式命中率与 Brier 需要已结算 forecast 合约。</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2500"/>
        <w:gridCol w:w="1860"/>
        <w:gridCol w:w="5000"/>
      </w:tblGrid>
      <w:tr>
        <w:trPr>
          <w:cantSplit/>
          <w:tblHeader w:val="true"/>
        </w:trPr>
        <w:tc>
          <w:tcPr>
            <w:tcW w:type="dxa" w:w="2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CHECK</w:t>
            </w:r>
          </w:p>
        </w:tc>
        <w:tc>
          <w:tcPr>
            <w:tcW w:type="dxa" w:w="18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STATUS / VALUE</w:t>
            </w:r>
          </w:p>
        </w:tc>
        <w:tc>
          <w:tcPr>
            <w:tcW w:type="dxa" w:w="50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INTERPRETATION</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公开来源数</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80</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公开来源覆盖</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操作结论证据覆盖</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5/5</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每条操作结论均有证据映射</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反向证据</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95</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保留反向与挑战证据</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上周基线</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2026-W29</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是否具备可比较上周基线</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结构化市场报价</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D85B16"/>
                <w:sz w:val="16"/>
              </w:rPr>
              <w:t>warn · 0</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是否具备结构化市场报价</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人类友好综合</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structured_llm</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是否完成人类友好叙事综合</w:t>
            </w:r>
          </w:p>
        </w:tc>
      </w:tr>
    </w:tbl>
    <w:p>
      <w:pPr>
        <w:keepLines w:val="0"/>
      </w:pPr>
      <w:r>
        <w:rPr>
          <w:rFonts w:ascii="Calibri" w:hAnsi="Calibri" w:eastAsia="Hiragino Sans GB"/>
          <w:b/>
          <w:color w:val="C92A2A"/>
          <w:sz w:val="22"/>
        </w:rPr>
        <w:t>本版明确不发布：verified_market_performance · settled_forecast_hit_rate_and_brier</w:t>
      </w:r>
    </w:p>
    <w:p>
      <w:pPr>
        <w:keepLines w:val="0"/>
      </w:pPr>
      <w:r>
        <w:rPr>
          <w:rFonts w:ascii="Calibri" w:hAnsi="Calibri" w:eastAsia="Hiragino Sans GB"/>
          <w:b w:val="0"/>
          <w:color w:val="5E6268"/>
          <w:sz w:val="22"/>
        </w:rPr>
        <w:t>仅包含已发布研究合约、公开报告路径和可复查映射；不包含内部运行记录、鉴权或生产提示。</w:t>
      </w:r>
    </w:p>
    <w:p>
      <w:r>
        <w:br w:type="page"/>
      </w:r>
    </w:p>
    <w:p>
      <w:pPr>
        <w:pStyle w:val="SectionLabel"/>
      </w:pPr>
      <w:r>
        <w:rPr>
          <w:rFonts w:ascii="Calibri" w:hAnsi="Calibri" w:eastAsia="Hiragino Sans GB"/>
          <w:b/>
          <w:color w:val="1D5FD1"/>
          <w:sz w:val="17"/>
        </w:rPr>
        <w:t>PROVENANCE LEDGER</w:t>
      </w:r>
    </w:p>
    <w:p>
      <w:pPr>
        <w:pStyle w:val="Heading1"/>
      </w:pPr>
      <w:r>
        <w:t>9. 完整来源账本</w:t>
      </w:r>
    </w:p>
    <w:p>
      <w:pPr>
        <w:keepLines w:val="0"/>
      </w:pPr>
      <w:r>
        <w:rPr>
          <w:rFonts w:ascii="Calibri" w:hAnsi="Calibri" w:eastAsia="Hiragino Sans GB"/>
          <w:b w:val="0"/>
          <w:color w:val="111111"/>
          <w:sz w:val="22"/>
        </w:rPr>
        <w:t>共 80 条公开来源。标题可点击进入对应研究详情；本表保留日期、类别和主要证据角色。</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520"/>
        <w:gridCol w:w="1240"/>
        <w:gridCol w:w="5940"/>
        <w:gridCol w:w="1660"/>
      </w:tblGrid>
      <w:tr>
        <w:trPr>
          <w:cantSplit/>
          <w:tblHeader w:val="true"/>
        </w:trPr>
        <w:tc>
          <w:tcPr>
            <w:tcW w:type="dxa" w:w="52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NO.</w:t>
            </w:r>
          </w:p>
        </w:tc>
        <w:tc>
          <w:tcPr>
            <w:tcW w:type="dxa" w:w="124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DATE</w:t>
            </w:r>
          </w:p>
        </w:tc>
        <w:tc>
          <w:tcPr>
            <w:tcW w:type="dxa" w:w="594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REPORT</w:t>
            </w:r>
          </w:p>
        </w:tc>
        <w:tc>
          <w:tcPr>
            <w:tcW w:type="dxa" w:w="16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ROLE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29">
              <w:r>
                <w:rPr>
                  <w:color w:val="1D5FD1"/>
                  <w:u w:val="single"/>
                  <w:b/>
                  <w:sz w:val="16"/>
                  <w:szCs w:val="16"/>
                  <w:rFonts w:ascii="Calibri" w:hAnsi="Calibri" w:eastAsia="Hiragino Sans GB"/>
                </w:rPr>
                <w:t>AI基础设施电力与信用瓶颈的宏观通胀与资本开支效应：对美国结构性通胀、...</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30">
              <w:r>
                <w:rPr>
                  <w:color w:val="1D5FD1"/>
                  <w:u w:val="single"/>
                  <w:b/>
                  <w:sz w:val="16"/>
                  <w:szCs w:val="16"/>
                  <w:rFonts w:ascii="Calibri" w:hAnsi="Calibri" w:eastAsia="Hiragino Sans GB"/>
                </w:rPr>
                <w:t>硅电锁死与再通胀：AI算力电力通胀向核心PCE的传导路径与降息周期的利率定价博弈</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75">
              <w:r>
                <w:rPr>
                  <w:color w:val="1D5FD1"/>
                  <w:u w:val="single"/>
                  <w:b/>
                  <w:sz w:val="16"/>
                  <w:szCs w:val="16"/>
                  <w:rFonts w:ascii="Calibri" w:hAnsi="Calibri" w:eastAsia="Hiragino Sans GB"/>
                </w:rPr>
                <w:t>公用事业分析工作日期 2026-07-20</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27">
              <w:r>
                <w:rPr>
                  <w:color w:val="1D5FD1"/>
                  <w:u w:val="single"/>
                  <w:b/>
                  <w:sz w:val="16"/>
                  <w:szCs w:val="16"/>
                  <w:rFonts w:ascii="Calibri" w:hAnsi="Calibri" w:eastAsia="Hiragino Sans GB"/>
                </w:rPr>
                <w:t>A股半导体ETF资金流、融资余额与半导体诱多风险吸收阈值</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76">
              <w:r>
                <w:rPr>
                  <w:color w:val="1D5FD1"/>
                  <w:u w:val="single"/>
                  <w:b/>
                  <w:sz w:val="16"/>
                  <w:szCs w:val="16"/>
                  <w:rFonts w:ascii="Calibri" w:hAnsi="Calibri" w:eastAsia="Hiragino Sans GB"/>
                </w:rPr>
                <w:t>A股资金流向分析报告 (2026-07-20)</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77">
              <w:r>
                <w:rPr>
                  <w:color w:val="1D5FD1"/>
                  <w:u w:val="single"/>
                  <w:b/>
                  <w:sz w:val="16"/>
                  <w:szCs w:val="16"/>
                  <w:rFonts w:ascii="Calibri" w:hAnsi="Calibri" w:eastAsia="Hiragino Sans GB"/>
                </w:rPr>
                <w:t>半导体 ETF 巨额流入与技术性熊市价格脱节的真伪抄底辩论</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78">
              <w:r>
                <w:rPr>
                  <w:color w:val="1D5FD1"/>
                  <w:u w:val="single"/>
                  <w:b/>
                  <w:sz w:val="16"/>
                  <w:szCs w:val="16"/>
                  <w:rFonts w:ascii="Calibri" w:hAnsi="Calibri" w:eastAsia="Hiragino Sans GB"/>
                </w:rPr>
                <w:t>半导体工作日期 2026-07-20</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79">
              <w:r>
                <w:rPr>
                  <w:color w:val="1D5FD1"/>
                  <w:u w:val="single"/>
                  <w:b/>
                  <w:sz w:val="16"/>
                  <w:szCs w:val="16"/>
                  <w:rFonts w:ascii="Calibri" w:hAnsi="Calibri" w:eastAsia="Hiragino Sans GB"/>
                </w:rPr>
                <w:t>2026-07-20 — 中国宏观研究记录：人民币弹性与8月宽松路径</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21">
              <w:r>
                <w:rPr>
                  <w:color w:val="1D5FD1"/>
                  <w:u w:val="single"/>
                  <w:b/>
                  <w:sz w:val="16"/>
                  <w:szCs w:val="16"/>
                  <w:rFonts w:ascii="Calibri" w:hAnsi="Calibri" w:eastAsia="Hiragino Sans GB"/>
                </w:rPr>
                <w:t>2026-07-20 — 策略与资产配置报告：人民币基准区间与出口商结汇节奏变化下的A股出口链板块盈利及...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31">
              <w:r>
                <w:rPr>
                  <w:color w:val="1D5FD1"/>
                  <w:u w:val="single"/>
                  <w:b/>
                  <w:sz w:val="16"/>
                  <w:szCs w:val="16"/>
                  <w:rFonts w:ascii="Calibri" w:hAnsi="Calibri" w:eastAsia="Hiragino Sans GB"/>
                </w:rPr>
                <w:t>2026-07-20 压力测试：AI 数据中心滑期、美国固定投资与 CPI 能源服务</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22">
              <w:r>
                <w:rPr>
                  <w:color w:val="1D5FD1"/>
                  <w:u w:val="single"/>
                  <w:b/>
                  <w:sz w:val="16"/>
                  <w:szCs w:val="16"/>
                  <w:rFonts w:ascii="Calibri" w:hAnsi="Calibri" w:eastAsia="Hiragino Sans GB"/>
                </w:rPr>
                <w:t>2026年下半年A股策略（工作日2026-07-20）：持有AI/出口引擎，但不追高出口Beta</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80">
              <w:r>
                <w:rPr>
                  <w:color w:val="1D5FD1"/>
                  <w:u w:val="single"/>
                  <w:b/>
                  <w:sz w:val="16"/>
                  <w:szCs w:val="16"/>
                  <w:rFonts w:ascii="Calibri" w:hAnsi="Calibri" w:eastAsia="Hiragino Sans GB"/>
                </w:rPr>
                <w:t>政治局政策信号后的A股内需Beta篮子与流动性执行路径</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81">
              <w:r>
                <w:rPr>
                  <w:color w:val="1D5FD1"/>
                  <w:u w:val="single"/>
                  <w:b/>
                  <w:sz w:val="16"/>
                  <w:szCs w:val="16"/>
                  <w:rFonts w:ascii="Calibri" w:hAnsi="Calibri" w:eastAsia="Hiragino Sans GB"/>
                </w:rPr>
                <w:t>主题研究员午间碰头会简报（2026-07-20）</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82">
              <w:r>
                <w:rPr>
                  <w:color w:val="1D5FD1"/>
                  <w:u w:val="single"/>
                  <w:b/>
                  <w:sz w:val="16"/>
                  <w:szCs w:val="16"/>
                  <w:rFonts w:ascii="Calibri" w:hAnsi="Calibri" w:eastAsia="Hiragino Sans GB"/>
                </w:rPr>
                <w:t>行云科技‘V客户’传闻与AI算力租赁狂热估值泡沫研究报告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25">
              <w:r>
                <w:rPr>
                  <w:color w:val="1D5FD1"/>
                  <w:u w:val="single"/>
                  <w:b/>
                  <w:sz w:val="16"/>
                  <w:szCs w:val="16"/>
                  <w:rFonts w:ascii="Calibri" w:hAnsi="Calibri" w:eastAsia="Hiragino Sans GB"/>
                </w:rPr>
                <w:t>2026-07-20 — A股红利防线最终仓位校准：银行质量筛选后的超配比例与公用事业、保险、现金之间的...</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83">
              <w:r>
                <w:rPr>
                  <w:color w:val="1D5FD1"/>
                  <w:u w:val="single"/>
                  <w:b/>
                  <w:sz w:val="16"/>
                  <w:szCs w:val="16"/>
                  <w:rFonts w:ascii="Calibri" w:hAnsi="Calibri" w:eastAsia="Hiragino Sans GB"/>
                </w:rPr>
                <w:t>2026-07-20 房地产链卡：B段4%应投向哪一段</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33">
              <w:r>
                <w:rPr>
                  <w:color w:val="1D5FD1"/>
                  <w:u w:val="single"/>
                  <w:b/>
                  <w:sz w:val="16"/>
                  <w:szCs w:val="16"/>
                  <w:rFonts w:ascii="Calibri" w:hAnsi="Calibri" w:eastAsia="Hiragino Sans GB"/>
                </w:rPr>
                <w:t>AI 产业动态追踪报告 (AI Industry Tracker)</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8">
              <w:r>
                <w:rPr>
                  <w:color w:val="1D5FD1"/>
                  <w:u w:val="single"/>
                  <w:b/>
                  <w:sz w:val="16"/>
                  <w:szCs w:val="16"/>
                  <w:rFonts w:ascii="Calibri" w:hAnsi="Calibri" w:eastAsia="Hiragino Sans GB"/>
                </w:rPr>
                <w:t>半导体/存储盈利压力测试（工作日2026-07-20）：稀缺盈利成立，但尚未全面扩散</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9">
              <w:r>
                <w:rPr>
                  <w:color w:val="1D5FD1"/>
                  <w:u w:val="single"/>
                  <w:b/>
                  <w:sz w:val="16"/>
                  <w:szCs w:val="16"/>
                  <w:rFonts w:ascii="Calibri" w:hAnsi="Calibri" w:eastAsia="Hiragino Sans GB"/>
                </w:rPr>
                <w:t>压力测试CPO对冲方案：先进封装瓶颈是否会从逻辑芯片传导至光电集成领域？</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84">
              <w:r>
                <w:rPr>
                  <w:color w:val="1D5FD1"/>
                  <w:u w:val="single"/>
                  <w:b/>
                  <w:sz w:val="16"/>
                  <w:szCs w:val="16"/>
                  <w:rFonts w:ascii="Calibri" w:hAnsi="Calibri" w:eastAsia="Hiragino Sans GB"/>
                </w:rPr>
                <w:t>城投债信用压力测试：利差分化与非标向公开债传染</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85">
              <w:r>
                <w:rPr>
                  <w:color w:val="1D5FD1"/>
                  <w:u w:val="single"/>
                  <w:b/>
                  <w:sz w:val="16"/>
                  <w:szCs w:val="16"/>
                  <w:rFonts w:ascii="Calibri" w:hAnsi="Calibri" w:eastAsia="Hiragino Sans GB"/>
                </w:rPr>
                <w:t>房地产行业午间同步简报（2026-07-20）</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86">
              <w:r>
                <w:rPr>
                  <w:color w:val="1D5FD1"/>
                  <w:u w:val="single"/>
                  <w:b/>
                  <w:sz w:val="16"/>
                  <w:szCs w:val="16"/>
                  <w:rFonts w:ascii="Calibri" w:hAnsi="Calibri" w:eastAsia="Hiragino Sans GB"/>
                </w:rPr>
                <w:t>电网安全与资本开支变现：AI数据中心大负荷接入下美国公用事业费率机制与成本分摊重构</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87">
              <w:r>
                <w:rPr>
                  <w:color w:val="1D5FD1"/>
                  <w:u w:val="single"/>
                  <w:b/>
                  <w:sz w:val="16"/>
                  <w:szCs w:val="16"/>
                  <w:rFonts w:ascii="Calibri" w:hAnsi="Calibri" w:eastAsia="Hiragino Sans GB"/>
                </w:rPr>
                <w:t>§1 THESIS</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88">
              <w:r>
                <w:rPr>
                  <w:color w:val="1D5FD1"/>
                  <w:u w:val="single"/>
                  <w:b/>
                  <w:sz w:val="16"/>
                  <w:szCs w:val="16"/>
                  <w:rFonts w:ascii="Calibri" w:hAnsi="Calibri" w:eastAsia="Hiragino Sans GB"/>
                </w:rPr>
                <w:t>2026-07-20 — 全球宏观研究记录：7月FOMC降息检验</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89">
              <w:r>
                <w:rPr>
                  <w:color w:val="1D5FD1"/>
                  <w:u w:val="single"/>
                  <w:b/>
                  <w:sz w:val="16"/>
                  <w:szCs w:val="16"/>
                  <w:rFonts w:ascii="Calibri" w:hAnsi="Calibri" w:eastAsia="Hiragino Sans GB"/>
                </w:rPr>
                <w:t>MSTR 比特币飞轮裂痕辩论 - 研究记录 03</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34">
              <w:r>
                <w:rPr>
                  <w:color w:val="1D5FD1"/>
                  <w:u w:val="single"/>
                  <w:b/>
                  <w:sz w:val="16"/>
                  <w:szCs w:val="16"/>
                  <w:rFonts w:ascii="Calibri" w:hAnsi="Calibri" w:eastAsia="Hiragino Sans GB"/>
                </w:rPr>
                <w:t>新兴主题投资雷达</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 / 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90">
              <w:r>
                <w:rPr>
                  <w:color w:val="1D5FD1"/>
                  <w:u w:val="single"/>
                  <w:b/>
                  <w:sz w:val="16"/>
                  <w:szCs w:val="16"/>
                  <w:rFonts w:ascii="Calibri" w:hAnsi="Calibri" w:eastAsia="Hiragino Sans GB"/>
                </w:rPr>
                <w:t>中东冲突复燃下的全球原油缺口：OPEC+与美国页岩油弹性审计</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91">
              <w:r>
                <w:rPr>
                  <w:color w:val="1D5FD1"/>
                  <w:u w:val="single"/>
                  <w:b/>
                  <w:sz w:val="16"/>
                  <w:szCs w:val="16"/>
                  <w:rFonts w:ascii="Calibri" w:hAnsi="Calibri" w:eastAsia="Hiragino Sans GB"/>
                </w:rPr>
                <w:t>AI 算力电力死锁与硅-电脱耦：A股半导体估值重构与电网设备出口策略</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92">
              <w:r>
                <w:rPr>
                  <w:color w:val="1D5FD1"/>
                  <w:u w:val="single"/>
                  <w:b/>
                  <w:sz w:val="16"/>
                  <w:szCs w:val="16"/>
                  <w:rFonts w:ascii="Calibri" w:hAnsi="Calibri" w:eastAsia="Hiragino Sans GB"/>
                </w:rPr>
                <w:t>农业行业午间同步简报（2026-07-20）</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93">
              <w:r>
                <w:rPr>
                  <w:color w:val="1D5FD1"/>
                  <w:u w:val="single"/>
                  <w:b/>
                  <w:sz w:val="16"/>
                  <w:szCs w:val="16"/>
                  <w:rFonts w:ascii="Calibri" w:hAnsi="Calibri" w:eastAsia="Hiragino Sans GB"/>
                </w:rPr>
                <w:t>2026-07-20 — 汇率与流动性研究记录：6.70-6.90人民币基准区间下的CNH对冲与套息交易配置</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94">
              <w:r>
                <w:rPr>
                  <w:color w:val="1D5FD1"/>
                  <w:u w:val="single"/>
                  <w:b/>
                  <w:sz w:val="16"/>
                  <w:szCs w:val="16"/>
                  <w:rFonts w:ascii="Calibri" w:hAnsi="Calibri" w:eastAsia="Hiragino Sans GB"/>
                </w:rPr>
                <w:t>2026-07-20 — 美国更高终端利率与全球电网设备短缺对中国的双向传导：人民币约束、政策空间与A股...</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95">
              <w:r>
                <w:rPr>
                  <w:color w:val="1D5FD1"/>
                  <w:u w:val="single"/>
                  <w:b/>
                  <w:sz w:val="16"/>
                  <w:szCs w:val="16"/>
                  <w:rFonts w:ascii="Calibri" w:hAnsi="Calibri" w:eastAsia="Hiragino Sans GB"/>
                </w:rPr>
                <w:t>美联储货币政策转型：凯文·沃什“数据依赖型自主裁量”新沟通范式及全球宏观影响</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96">
              <w:r>
                <w:rPr>
                  <w:color w:val="1D5FD1"/>
                  <w:u w:val="single"/>
                  <w:b/>
                  <w:sz w:val="16"/>
                  <w:szCs w:val="16"/>
                  <w:rFonts w:ascii="Calibri" w:hAnsi="Calibri" w:eastAsia="Hiragino Sans GB"/>
                </w:rPr>
                <w:t>既非缓冲亦非套息：人民币是一场正被官方主动刹车的逼空</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97">
              <w:r>
                <w:rPr>
                  <w:color w:val="1D5FD1"/>
                  <w:u w:val="single"/>
                  <w:b/>
                  <w:sz w:val="16"/>
                  <w:szCs w:val="16"/>
                  <w:rFonts w:ascii="Calibri" w:hAnsi="Calibri" w:eastAsia="Hiragino Sans GB"/>
                </w:rPr>
                <w:t>AI/科创回撤后的A股微观结构压力测试（工作日2026-07-20）：两融、IPO抽水与指数调样资金流</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98">
              <w:r>
                <w:rPr>
                  <w:color w:val="1D5FD1"/>
                  <w:u w:val="single"/>
                  <w:b/>
                  <w:sz w:val="16"/>
                  <w:szCs w:val="16"/>
                  <w:rFonts w:ascii="Calibri" w:hAnsi="Calibri" w:eastAsia="Hiragino Sans GB"/>
                </w:rPr>
                <w:t>中美利差极值与人民币通道：美国鹰派体制向A股成长久期的汇率传导定价</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99">
              <w:r>
                <w:rPr>
                  <w:color w:val="1D5FD1"/>
                  <w:u w:val="single"/>
                  <w:b/>
                  <w:sz w:val="16"/>
                  <w:szCs w:val="16"/>
                  <w:rFonts w:ascii="Calibri" w:hAnsi="Calibri" w:eastAsia="Hiragino Sans GB"/>
                </w:rPr>
                <w:t>2026-07-20：地方电力市场规则下构网型储能容量补偿与调度现金流兑现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00">
              <w:r>
                <w:rPr>
                  <w:color w:val="1D5FD1"/>
                  <w:u w:val="single"/>
                  <w:b/>
                  <w:sz w:val="16"/>
                  <w:szCs w:val="16"/>
                  <w:rFonts w:ascii="Calibri" w:hAnsi="Calibri" w:eastAsia="Hiragino Sans GB"/>
                </w:rPr>
                <w:t>人民币汇率路径与 USD/CNH 对冲阈值</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01">
              <w:r>
                <w:rPr>
                  <w:color w:val="1D5FD1"/>
                  <w:u w:val="single"/>
                  <w:b/>
                  <w:sz w:val="16"/>
                  <w:szCs w:val="16"/>
                  <w:rFonts w:ascii="Calibri" w:hAnsi="Calibri" w:eastAsia="Hiragino Sans GB"/>
                </w:rPr>
                <w:t>全球能源转型进展跟踪</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02">
              <w:r>
                <w:rPr>
                  <w:color w:val="1D5FD1"/>
                  <w:u w:val="single"/>
                  <w:b/>
                  <w:sz w:val="16"/>
                  <w:szCs w:val="16"/>
                  <w:rFonts w:ascii="Calibri" w:hAnsi="Calibri" w:eastAsia="Hiragino Sans GB"/>
                </w:rPr>
                <w:t>美伊停火协议破裂与油价反弹：对美国通胀及2026年7月美联储决议的影响</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26">
              <w:r>
                <w:rPr>
                  <w:color w:val="1D5FD1"/>
                  <w:u w:val="single"/>
                  <w:b/>
                  <w:sz w:val="16"/>
                  <w:szCs w:val="16"/>
                  <w:rFonts w:ascii="Calibri" w:hAnsi="Calibri" w:eastAsia="Hiragino Sans GB"/>
                </w:rPr>
                <w:t>商业银行息差压力与分红韧性评估（截至 2026-07-20）[S0]</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03">
              <w:r>
                <w:rPr>
                  <w:color w:val="1D5FD1"/>
                  <w:u w:val="single"/>
                  <w:b/>
                  <w:sz w:val="16"/>
                  <w:szCs w:val="16"/>
                  <w:rFonts w:ascii="Calibri" w:hAnsi="Calibri" w:eastAsia="Hiragino Sans GB"/>
                </w:rPr>
                <w:t>2026-07-20 宏观传导：霍尔木兹路线风险缺口、美国通胀预期与7月FOMC沟通 [自测算]</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04">
              <w:r>
                <w:rPr>
                  <w:color w:val="1D5FD1"/>
                  <w:u w:val="single"/>
                  <w:b/>
                  <w:sz w:val="16"/>
                  <w:szCs w:val="16"/>
                  <w:rFonts w:ascii="Calibri" w:hAnsi="Calibri" w:eastAsia="Hiragino Sans GB"/>
                </w:rPr>
                <w:t>2026-07-20：AI资本开支从金额竞赛转向“可通电、可回收、可变现”</w:t>
              </w:r>
            </w:hyperlink>
            <w:r>
              <w:rPr>
                <w:rFonts w:ascii="Calibri" w:hAnsi="Calibri" w:eastAsia="Hiragino Sans GB"/>
                <w:color w:val="5E6268"/>
                <w:sz w:val="14"/>
              </w:rPr>
              <w:br/>
              <w:t>AI Institute 综合编辑 · Reader report</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daily_synthesis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05">
              <w:r>
                <w:rPr>
                  <w:color w:val="1D5FD1"/>
                  <w:u w:val="single"/>
                  <w:b/>
                  <w:sz w:val="16"/>
                  <w:szCs w:val="16"/>
                  <w:rFonts w:ascii="Calibri" w:hAnsi="Calibri" w:eastAsia="Hiragino Sans GB"/>
                </w:rPr>
                <w:t>2026-07-20｜均值回归窗口下的A股中小盘筹码出清与期权对冲策略</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06">
              <w:r>
                <w:rPr>
                  <w:color w:val="1D5FD1"/>
                  <w:u w:val="single"/>
                  <w:b/>
                  <w:sz w:val="16"/>
                  <w:szCs w:val="16"/>
                  <w:rFonts w:ascii="Calibri" w:hAnsi="Calibri" w:eastAsia="Hiragino Sans GB"/>
                </w:rPr>
                <w:t>AI 硅-电再平衡：半导体去杠杆阵痛与电力/电网物理瓶颈的估值重塑 (2026-07-20 盘前)</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07">
              <w:r>
                <w:rPr>
                  <w:color w:val="1D5FD1"/>
                  <w:u w:val="single"/>
                  <w:b/>
                  <w:sz w:val="16"/>
                  <w:szCs w:val="16"/>
                  <w:rFonts w:ascii="Calibri" w:hAnsi="Calibri" w:eastAsia="Hiragino Sans GB"/>
                </w:rPr>
                <w:t>A股硬科技仓位（2026-07-20）：维持40%，但重配风险</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08">
              <w:r>
                <w:rPr>
                  <w:color w:val="1D5FD1"/>
                  <w:u w:val="single"/>
                  <w:b/>
                  <w:sz w:val="16"/>
                  <w:szCs w:val="16"/>
                  <w:rFonts w:ascii="Calibri" w:hAnsi="Calibri" w:eastAsia="Hiragino Sans GB"/>
                </w:rPr>
                <w:t>上市银行净息差趋势与驱动因素深度分析报告 (2024-2026)</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09">
              <w:r>
                <w:rPr>
                  <w:color w:val="1D5FD1"/>
                  <w:u w:val="single"/>
                  <w:b/>
                  <w:sz w:val="16"/>
                  <w:szCs w:val="16"/>
                  <w:rFonts w:ascii="Calibri" w:hAnsi="Calibri" w:eastAsia="Hiragino Sans GB"/>
                </w:rPr>
                <w:t>2026-07-20 半导体研究记录 02：先进封装良率压力、国内 Fab 毛利率与设备验证速度</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10">
              <w:r>
                <w:rPr>
                  <w:color w:val="1D5FD1"/>
                  <w:u w:val="single"/>
                  <w:b/>
                  <w:sz w:val="16"/>
                  <w:szCs w:val="16"/>
                  <w:rFonts w:ascii="Calibri" w:hAnsi="Calibri" w:eastAsia="Hiragino Sans GB"/>
                </w:rPr>
                <w:t>首席风控官每日风险报告 (Chief Risk Officer Daily Risk Report)</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11">
              <w:r>
                <w:rPr>
                  <w:color w:val="1D5FD1"/>
                  <w:u w:val="single"/>
                  <w:b/>
                  <w:sz w:val="16"/>
                  <w:szCs w:val="16"/>
                  <w:rFonts w:ascii="Calibri" w:hAnsi="Calibri" w:eastAsia="Hiragino Sans GB"/>
                </w:rPr>
                <w:t>首席风控官每日风险监测与VaR超限预警报告 (Daily VaR Alert &amp; Portfolio Risk Watch)</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12">
              <w:r>
                <w:rPr>
                  <w:color w:val="1D5FD1"/>
                  <w:u w:val="single"/>
                  <w:b/>
                  <w:sz w:val="16"/>
                  <w:szCs w:val="16"/>
                  <w:rFonts w:ascii="Calibri" w:hAnsi="Calibri" w:eastAsia="Hiragino Sans GB"/>
                </w:rPr>
                <w:t>下半年地方债置换与净息差极限下行下上市银行的分红率稳定性与资本补充压力测试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13">
              <w:r>
                <w:rPr>
                  <w:color w:val="1D5FD1"/>
                  <w:u w:val="single"/>
                  <w:b/>
                  <w:sz w:val="16"/>
                  <w:szCs w:val="16"/>
                  <w:rFonts w:ascii="Calibri" w:hAnsi="Calibri" w:eastAsia="Hiragino Sans GB"/>
                </w:rPr>
                <w:t>2026-07-20｜ETF被动化浪潮对A股K型分化与杠铃策略“双腿”内部结构的分裂效应</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14">
              <w:r>
                <w:rPr>
                  <w:color w:val="1D5FD1"/>
                  <w:u w:val="single"/>
                  <w:b/>
                  <w:sz w:val="16"/>
                  <w:szCs w:val="16"/>
                  <w:rFonts w:ascii="Calibri" w:hAnsi="Calibri" w:eastAsia="Hiragino Sans GB"/>
                </w:rPr>
                <w:t>2026-07-20当周净AI篮子重新配权</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15">
              <w:r>
                <w:rPr>
                  <w:color w:val="1D5FD1"/>
                  <w:u w:val="single"/>
                  <w:b/>
                  <w:sz w:val="16"/>
                  <w:szCs w:val="16"/>
                  <w:rFonts w:ascii="Calibri" w:hAnsi="Calibri" w:eastAsia="Hiragino Sans GB"/>
                </w:rPr>
                <w:t>A股两融跌破2.75万亿触发的跨资产再平衡交易清单与执行方案（截至 2026-07-20） [S0]</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16">
              <w:r>
                <w:rPr>
                  <w:color w:val="1D5FD1"/>
                  <w:u w:val="single"/>
                  <w:b/>
                  <w:sz w:val="16"/>
                  <w:szCs w:val="16"/>
                  <w:rFonts w:ascii="Calibri" w:hAnsi="Calibri" w:eastAsia="Hiragino Sans GB"/>
                </w:rPr>
                <w:t>MSTR 比特币飞轮裂痕辩论 - 研究记录 04 (综合报告)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17">
              <w:r>
                <w:rPr>
                  <w:color w:val="1D5FD1"/>
                  <w:u w:val="single"/>
                  <w:b/>
                  <w:sz w:val="16"/>
                  <w:szCs w:val="16"/>
                  <w:rFonts w:ascii="Calibri" w:hAnsi="Calibri" w:eastAsia="Hiragino Sans GB"/>
                </w:rPr>
                <w:t>MSTR 比特币飞轮裂痕辩论 - 研究记录 05 (中文报告)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7">
              <w:r>
                <w:rPr>
                  <w:color w:val="1D5FD1"/>
                  <w:u w:val="single"/>
                  <w:b/>
                  <w:sz w:val="16"/>
                  <w:szCs w:val="16"/>
                  <w:rFonts w:ascii="Calibri" w:hAnsi="Calibri" w:eastAsia="Hiragino Sans GB"/>
                </w:rPr>
                <w:t>并网瓶颈下的超大规模算力集群部署时序</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18">
              <w:r>
                <w:rPr>
                  <w:color w:val="1D5FD1"/>
                  <w:u w:val="single"/>
                  <w:b/>
                  <w:sz w:val="16"/>
                  <w:szCs w:val="16"/>
                  <w:rFonts w:ascii="Calibri" w:hAnsi="Calibri" w:eastAsia="Hiragino Sans GB"/>
                </w:rPr>
                <w:t>科创板硬科技重配与两融去杠杆门槛：8月中报前的日度确认机制</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19">
              <w:r>
                <w:rPr>
                  <w:color w:val="1D5FD1"/>
                  <w:u w:val="single"/>
                  <w:b/>
                  <w:sz w:val="16"/>
                  <w:szCs w:val="16"/>
                  <w:rFonts w:ascii="Calibri" w:hAnsi="Calibri" w:eastAsia="Hiragino Sans GB"/>
                </w:rPr>
                <w:t>全球宏观与固定收益研究：taxable 政府债收益率重定价与商业银行 CET1/AOCI 敏感性压力测试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20">
              <w:r>
                <w:rPr>
                  <w:color w:val="1D5FD1"/>
                  <w:u w:val="single"/>
                  <w:b/>
                  <w:sz w:val="16"/>
                  <w:szCs w:val="16"/>
                  <w:rFonts w:ascii="Calibri" w:hAnsi="Calibri" w:eastAsia="Hiragino Sans GB"/>
                </w:rPr>
                <w:t>全球宏观经济研究：商业银行政府债重定价估值冲击对广义信贷扩张与中央银行货币政策传导效率的非线...</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21">
              <w:r>
                <w:rPr>
                  <w:color w:val="1D5FD1"/>
                  <w:u w:val="single"/>
                  <w:b/>
                  <w:sz w:val="16"/>
                  <w:szCs w:val="16"/>
                  <w:rFonts w:ascii="Calibri" w:hAnsi="Calibri" w:eastAsia="Hiragino Sans GB"/>
                </w:rPr>
                <w:t>全球信用利差专题监控报告：极度收窄的估值与日央行紧缩下的分化</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22">
              <w:r>
                <w:rPr>
                  <w:color w:val="1D5FD1"/>
                  <w:u w:val="single"/>
                  <w:b/>
                  <w:sz w:val="16"/>
                  <w:szCs w:val="16"/>
                  <w:rFonts w:ascii="Calibri" w:hAnsi="Calibri" w:eastAsia="Hiragino Sans GB"/>
                </w:rPr>
                <w:t>2026-07-20 A股策略卡：B段净化后重组完整12%内需弹药</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23">
              <w:r>
                <w:rPr>
                  <w:color w:val="1D5FD1"/>
                  <w:u w:val="single"/>
                  <w:b/>
                  <w:sz w:val="16"/>
                  <w:szCs w:val="16"/>
                  <w:rFonts w:ascii="Calibri" w:hAnsi="Calibri" w:eastAsia="Hiragino Sans GB"/>
                </w:rPr>
                <w:t>2026-07-20｜2026年12月解禁高峰附近的MO put spread、IM hedge比例与基差风险压力测试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24">
              <w:r>
                <w:rPr>
                  <w:color w:val="1D5FD1"/>
                  <w:u w:val="single"/>
                  <w:b/>
                  <w:sz w:val="16"/>
                  <w:szCs w:val="16"/>
                  <w:rFonts w:ascii="Calibri" w:hAnsi="Calibri" w:eastAsia="Hiragino Sans GB"/>
                </w:rPr>
                <w:t>全球宏观流动性与加密期权对冲传导机制 - 研究记录 06 (中文报告)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25">
              <w:r>
                <w:rPr>
                  <w:color w:val="1D5FD1"/>
                  <w:u w:val="single"/>
                  <w:b/>
                  <w:sz w:val="16"/>
                  <w:szCs w:val="16"/>
                  <w:rFonts w:ascii="Calibri" w:hAnsi="Calibri" w:eastAsia="Hiragino Sans GB"/>
                </w:rPr>
                <w:t>强美元与石油进口冲击向中国的传导：输入型通胀、CNY压力与A股风格轮动</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26">
              <w:r>
                <w:rPr>
                  <w:color w:val="1D5FD1"/>
                  <w:u w:val="single"/>
                  <w:b/>
                  <w:sz w:val="16"/>
                  <w:szCs w:val="16"/>
                  <w:rFonts w:ascii="Calibri" w:hAnsi="Calibri" w:eastAsia="Hiragino Sans GB"/>
                </w:rPr>
                <w:t>MSTR 比特币飞轮裂痕辩论 - 研究记录 02</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27">
              <w:r>
                <w:rPr>
                  <w:color w:val="1D5FD1"/>
                  <w:u w:val="single"/>
                  <w:b/>
                  <w:sz w:val="16"/>
                  <w:szCs w:val="16"/>
                  <w:rFonts w:ascii="Calibri" w:hAnsi="Calibri" w:eastAsia="Hiragino Sans GB"/>
                </w:rPr>
                <w:t>2026-07-20 — 首席策略师研究记录：维持利率但措辞转软情形下的跨资产配置</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28">
              <w:r>
                <w:rPr>
                  <w:color w:val="1D5FD1"/>
                  <w:u w:val="single"/>
                  <w:b/>
                  <w:sz w:val="16"/>
                  <w:szCs w:val="16"/>
                  <w:rFonts w:ascii="Calibri" w:hAnsi="Calibri" w:eastAsia="Hiragino Sans GB"/>
                </w:rPr>
                <w:t>Active research-project theses</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29">
              <w:r>
                <w:rPr>
                  <w:color w:val="1D5FD1"/>
                  <w:u w:val="single"/>
                  <w:b/>
                  <w:sz w:val="16"/>
                  <w:szCs w:val="16"/>
                  <w:rFonts w:ascii="Calibri" w:hAnsi="Calibri" w:eastAsia="Hiragino Sans GB"/>
                </w:rPr>
                <w:t>最终配置调和 - 研究记录 08</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30">
              <w:r>
                <w:rPr>
                  <w:color w:val="1D5FD1"/>
                  <w:u w:val="single"/>
                  <w:b/>
                  <w:sz w:val="16"/>
                  <w:szCs w:val="16"/>
                  <w:rFonts w:ascii="Calibri" w:hAnsi="Calibri" w:eastAsia="Hiragino Sans GB"/>
                </w:rPr>
                <w:t>凸性定价与期权结构化：9月FOMC利率价差与布伦特看涨价差</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31">
              <w:r>
                <w:rPr>
                  <w:color w:val="1D5FD1"/>
                  <w:u w:val="single"/>
                  <w:b/>
                  <w:sz w:val="16"/>
                  <w:szCs w:val="16"/>
                  <w:rFonts w:ascii="Calibri" w:hAnsi="Calibri" w:eastAsia="Hiragino Sans GB"/>
                </w:rPr>
                <w:t>医药与采购政策对宏观流动性传导的挑战 - 研究记录 07 (中文报告)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32">
              <w:r>
                <w:rPr>
                  <w:color w:val="1D5FD1"/>
                  <w:u w:val="single"/>
                  <w:b/>
                  <w:sz w:val="16"/>
                  <w:szCs w:val="16"/>
                  <w:rFonts w:ascii="Calibri" w:hAnsi="Calibri" w:eastAsia="Hiragino Sans GB"/>
                </w:rPr>
                <w:t>日报总编午间同步简报（2026-07-20）</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33">
              <w:r>
                <w:rPr>
                  <w:color w:val="1D5FD1"/>
                  <w:u w:val="single"/>
                  <w:b/>
                  <w:sz w:val="16"/>
                  <w:szCs w:val="16"/>
                  <w:rFonts w:ascii="Calibri" w:hAnsi="Calibri" w:eastAsia="Hiragino Sans GB"/>
                </w:rPr>
                <w:t>§1 THESIS</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34">
              <w:r>
                <w:rPr>
                  <w:color w:val="1D5FD1"/>
                  <w:u w:val="single"/>
                  <w:b/>
                  <w:sz w:val="16"/>
                  <w:szCs w:val="16"/>
                  <w:rFonts w:ascii="Calibri" w:hAnsi="Calibri" w:eastAsia="Hiragino Sans GB"/>
                </w:rPr>
                <w:t>补库是真实的——但820亿美元是一次重复计算。扣除它自身触发的价格红利后，净拖累约为280亿美元</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23">
              <w:r>
                <w:rPr>
                  <w:color w:val="1D5FD1"/>
                  <w:u w:val="single"/>
                  <w:b/>
                  <w:sz w:val="16"/>
                  <w:szCs w:val="16"/>
                  <w:rFonts w:ascii="Calibri" w:hAnsi="Calibri" w:eastAsia="Hiragino Sans GB"/>
                </w:rPr>
                <w:t>A股融资融券最新数据分析</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35">
              <w:r>
                <w:rPr>
                  <w:color w:val="1D5FD1"/>
                  <w:u w:val="single"/>
                  <w:b/>
                  <w:sz w:val="16"/>
                  <w:szCs w:val="16"/>
                  <w:rFonts w:ascii="Calibri" w:hAnsi="Calibri" w:eastAsia="Hiragino Sans GB"/>
                </w:rPr>
                <w:t>PJM容量价格剧烈波动下AI相关高级ABS的信用利差扩张与回收率压力测试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36">
              <w:r>
                <w:rPr>
                  <w:color w:val="1D5FD1"/>
                  <w:u w:val="single"/>
                  <w:b/>
                  <w:sz w:val="16"/>
                  <w:szCs w:val="16"/>
                  <w:rFonts w:ascii="Calibri" w:hAnsi="Calibri" w:eastAsia="Hiragino Sans GB"/>
                </w:rPr>
                <w:t>电力墙真的砍掉了Hyperscaler的资本开支吗？在PJM约束下审读2025–2027年计划</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37">
              <w:r>
                <w:rPr>
                  <w:color w:val="1D5FD1"/>
                  <w:u w:val="single"/>
                  <w:b/>
                  <w:sz w:val="16"/>
                  <w:szCs w:val="16"/>
                  <w:rFonts w:ascii="Calibri" w:hAnsi="Calibri" w:eastAsia="Hiragino Sans GB"/>
                </w:rPr>
                <w:t>2026-07-20 — 首席风控官报告：两融2.86万亿元触线后的组合级保证金冲击与风险限额复核</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38">
              <w:r>
                <w:rPr>
                  <w:color w:val="1D5FD1"/>
                  <w:u w:val="single"/>
                  <w:b/>
                  <w:sz w:val="16"/>
                  <w:szCs w:val="16"/>
                  <w:rFonts w:ascii="Calibri" w:hAnsi="Calibri" w:eastAsia="Hiragino Sans GB"/>
                </w:rPr>
                <w:t>2026-07-20 A股策略卡：两个需求闸门触发后的A股实施篮子</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39">
              <w:r>
                <w:rPr>
                  <w:color w:val="1D5FD1"/>
                  <w:u w:val="single"/>
                  <w:b/>
                  <w:sz w:val="16"/>
                  <w:szCs w:val="16"/>
                  <w:rFonts w:ascii="Calibri" w:hAnsi="Calibri" w:eastAsia="Hiragino Sans GB"/>
                </w:rPr>
                <w:t>2026-07-20 两融去杠杆与汇率约束下的宏观流动性再平衡</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80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40">
              <w:r>
                <w:rPr>
                  <w:color w:val="1D5FD1"/>
                  <w:u w:val="single"/>
                  <w:b/>
                  <w:sz w:val="16"/>
                  <w:szCs w:val="16"/>
                  <w:rFonts w:ascii="Calibri" w:hAnsi="Calibri" w:eastAsia="Hiragino Sans GB"/>
                </w:rPr>
                <w:t>2026-07-20｜A股指数重仓股估值溢价与中小盘流动性折价的边界测算与均值回归触发条件</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bl>
    <w:p>
      <w:pPr>
        <w:pStyle w:val="TableCitation"/>
      </w:pPr>
      <w:r>
        <w:t>来源账本来自同一周度发布合约；未引入私有运行记录、密钥或内部提示。</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Hiragino Sans GB"/>
        <w:b/>
        <w:color w:val="5E6268"/>
        <w:sz w:val="17"/>
      </w:rPr>
      <w:t xml:space="preserve">ADMIN RESEARCH PUBLICATION  ·  </w:t>
    </w:r>
    <w:r>
      <w:rPr>
        <w:rFonts w:ascii="Calibri" w:hAnsi="Calibri" w:eastAsia="Hiragino Sans GB"/>
        <w:color w:val="5E6268"/>
        <w:sz w:val="17"/>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Hiragino Sans GB"/>
        <w:b/>
        <w:color w:val="5E6268"/>
        <w:sz w:val="17"/>
      </w:rPr>
      <w:t>AI INSTITUTE  /  WEEKLY RESEARCH  /  2026-W30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20" w:line="264" w:lineRule="auto"/>
    </w:pPr>
    <w:rPr>
      <w:rFonts w:ascii="Calibri" w:hAnsi="Calibri" w:eastAsia="Hiragino Sans GB"/>
      <w:b w:val="0"/>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eastAsia="Hiragino Sans GB"/>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eastAsia="Hiragino Sans GB"/>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eastAsia="Hiragino Sans GB"/>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itation">
    <w:name w:val="Table Citation"/>
    <w:pPr>
      <w:keepNext w:val="0"/>
      <w:spacing w:before="80" w:after="80" w:line="240" w:lineRule="auto"/>
    </w:pPr>
    <w:rPr>
      <w:rFonts w:ascii="Calibri" w:hAnsi="Calibri" w:eastAsia="Hiragino Sans GB"/>
      <w:b w:val="0"/>
      <w:color w:val="5E6268"/>
      <w:sz w:val="17"/>
    </w:rPr>
  </w:style>
  <w:style w:type="paragraph" w:customStyle="1" w:styleId="SectionLabel">
    <w:name w:val="Section Label"/>
    <w:pPr>
      <w:keepNext/>
      <w:spacing w:before="0" w:after="80" w:line="240" w:lineRule="auto"/>
    </w:pPr>
    <w:rPr>
      <w:rFonts w:ascii="Calibri" w:hAnsi="Calibri" w:eastAsia="Hiragino Sans GB"/>
      <w:b/>
      <w:color w:val="1D5FD1"/>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vibe-alpha-three.vercel.app/investor/panorama/2026-W30/" TargetMode="External"/><Relationship Id="rId12" Type="http://schemas.openxmlformats.org/officeDocument/2006/relationships/hyperlink" Target="https://vibe-alpha-three.vercel.app/investor/lanes/ai-compute-semiconductors/" TargetMode="External"/><Relationship Id="rId13" Type="http://schemas.openxmlformats.org/officeDocument/2006/relationships/hyperlink" Target="https://vibe-alpha-three.vercel.app/investor/lanes/china-equity-liquidity/" TargetMode="External"/><Relationship Id="rId14" Type="http://schemas.openxmlformats.org/officeDocument/2006/relationships/hyperlink" Target="https://vibe-alpha-three.vercel.app/investor/lanes/a-share-dividend-and-hard-tech-barbell/" TargetMode="External"/><Relationship Id="rId15" Type="http://schemas.openxmlformats.org/officeDocument/2006/relationships/hyperlink" Target="https://vibe-alpha-three.vercel.app/investor/lanes/ai-reflation-and-rate-sensitive-assets/" TargetMode="External"/><Relationship Id="rId16" Type="http://schemas.openxmlformats.org/officeDocument/2006/relationships/hyperlink" Target="https://vibe-alpha-three.vercel.app/investor/lanes/mag7-ai-platform-re-layering/" TargetMode="External"/><Relationship Id="rId17" Type="http://schemas.openxmlformats.org/officeDocument/2006/relationships/hyperlink" Target="https://vibe-alpha-three.vercel.app/investor/reports/archive-26dafb523be7/" TargetMode="External"/><Relationship Id="rId18" Type="http://schemas.openxmlformats.org/officeDocument/2006/relationships/hyperlink" Target="https://vibe-alpha-three.vercel.app/investor/reports/archive-51e6364bd067/" TargetMode="External"/><Relationship Id="rId19" Type="http://schemas.openxmlformats.org/officeDocument/2006/relationships/hyperlink" Target="https://vibe-alpha-three.vercel.app/investor/reports/archive-e3b11ed1d035/" TargetMode="External"/><Relationship Id="rId20" Type="http://schemas.openxmlformats.org/officeDocument/2006/relationships/hyperlink" Target="https://vibe-alpha-three.vercel.app/investor/theses/thesis-b976d8330e/" TargetMode="External"/><Relationship Id="rId21" Type="http://schemas.openxmlformats.org/officeDocument/2006/relationships/hyperlink" Target="https://vibe-alpha-three.vercel.app/investor/reports/archive-3d29081edb6c/" TargetMode="External"/><Relationship Id="rId22" Type="http://schemas.openxmlformats.org/officeDocument/2006/relationships/hyperlink" Target="https://vibe-alpha-three.vercel.app/investor/reports/archive-8ede2bff1100/" TargetMode="External"/><Relationship Id="rId23" Type="http://schemas.openxmlformats.org/officeDocument/2006/relationships/hyperlink" Target="https://vibe-alpha-three.vercel.app/investor/reports/archive-05b7844aca5a/" TargetMode="External"/><Relationship Id="rId24" Type="http://schemas.openxmlformats.org/officeDocument/2006/relationships/hyperlink" Target="https://vibe-alpha-three.vercel.app/investor/theses/thesis-ce29facfbd/" TargetMode="External"/><Relationship Id="rId25" Type="http://schemas.openxmlformats.org/officeDocument/2006/relationships/hyperlink" Target="https://vibe-alpha-three.vercel.app/investor/reports/archive-191e6aa1408e/" TargetMode="External"/><Relationship Id="rId26" Type="http://schemas.openxmlformats.org/officeDocument/2006/relationships/hyperlink" Target="https://vibe-alpha-three.vercel.app/investor/reports/archive-ce135db15462/" TargetMode="External"/><Relationship Id="rId27" Type="http://schemas.openxmlformats.org/officeDocument/2006/relationships/hyperlink" Target="https://vibe-alpha-three.vercel.app/investor/reports/archive-968f5311d8f3/" TargetMode="External"/><Relationship Id="rId28" Type="http://schemas.openxmlformats.org/officeDocument/2006/relationships/hyperlink" Target="https://vibe-alpha-three.vercel.app/investor/theses/thesis-70daf87262/" TargetMode="External"/><Relationship Id="rId29" Type="http://schemas.openxmlformats.org/officeDocument/2006/relationships/hyperlink" Target="https://vibe-alpha-three.vercel.app/investor/reports/archive-047daba6b595/" TargetMode="External"/><Relationship Id="rId30" Type="http://schemas.openxmlformats.org/officeDocument/2006/relationships/hyperlink" Target="https://vibe-alpha-three.vercel.app/investor/reports/archive-8d3e283c741e/" TargetMode="External"/><Relationship Id="rId31" Type="http://schemas.openxmlformats.org/officeDocument/2006/relationships/hyperlink" Target="https://vibe-alpha-three.vercel.app/investor/reports/archive-4a46f4475284/" TargetMode="External"/><Relationship Id="rId32" Type="http://schemas.openxmlformats.org/officeDocument/2006/relationships/hyperlink" Target="https://vibe-alpha-three.vercel.app/investor/theses/thesis-075017003b/" TargetMode="External"/><Relationship Id="rId33" Type="http://schemas.openxmlformats.org/officeDocument/2006/relationships/hyperlink" Target="https://vibe-alpha-three.vercel.app/investor/reports/archive-fc9245e72f9f/" TargetMode="External"/><Relationship Id="rId34" Type="http://schemas.openxmlformats.org/officeDocument/2006/relationships/hyperlink" Target="https://vibe-alpha-three.vercel.app/investor/reports/archive-13ce131774e4/" TargetMode="External"/><Relationship Id="rId35" Type="http://schemas.openxmlformats.org/officeDocument/2006/relationships/hyperlink" Target="https://vibe-alpha-three.vercel.app/investor/theses/thesis-8c5a9690a0/" TargetMode="External"/><Relationship Id="rId36" Type="http://schemas.openxmlformats.org/officeDocument/2006/relationships/hyperlink" Target="https://vibe-alpha-three.vercel.app/investor/stocks/GEV/" TargetMode="External"/><Relationship Id="rId37" Type="http://schemas.openxmlformats.org/officeDocument/2006/relationships/hyperlink" Target="https://vibe-alpha-three.vercel.app/investor/stocks/CEG/" TargetMode="External"/><Relationship Id="rId38" Type="http://schemas.openxmlformats.org/officeDocument/2006/relationships/hyperlink" Target="https://vibe-alpha-three.vercel.app/investor/stocks/VST/" TargetMode="External"/><Relationship Id="rId39" Type="http://schemas.openxmlformats.org/officeDocument/2006/relationships/hyperlink" Target="https://vibe-alpha-three.vercel.app/investor/stocks/XLU/" TargetMode="External"/><Relationship Id="rId40" Type="http://schemas.openxmlformats.org/officeDocument/2006/relationships/hyperlink" Target="https://vibe-alpha-three.vercel.app/investor/stocks/TLT/" TargetMode="External"/><Relationship Id="rId41" Type="http://schemas.openxmlformats.org/officeDocument/2006/relationships/hyperlink" Target="https://vibe-alpha-three.vercel.app/investor/stocks/IEF/" TargetMode="External"/><Relationship Id="rId42" Type="http://schemas.openxmlformats.org/officeDocument/2006/relationships/hyperlink" Target="https://vibe-alpha-three.vercel.app/investor/stocks/NVDA/" TargetMode="External"/><Relationship Id="rId43" Type="http://schemas.openxmlformats.org/officeDocument/2006/relationships/hyperlink" Target="https://vibe-alpha-three.vercel.app/investor/stocks/TSM/" TargetMode="External"/><Relationship Id="rId44" Type="http://schemas.openxmlformats.org/officeDocument/2006/relationships/hyperlink" Target="https://vibe-alpha-three.vercel.app/investor/stocks/MU/" TargetMode="External"/><Relationship Id="rId45" Type="http://schemas.openxmlformats.org/officeDocument/2006/relationships/hyperlink" Target="https://vibe-alpha-three.vercel.app/investor/stocks/000660.KS/" TargetMode="External"/><Relationship Id="rId46" Type="http://schemas.openxmlformats.org/officeDocument/2006/relationships/hyperlink" Target="https://vibe-alpha-three.vercel.app/investor/stocks/AMD/" TargetMode="External"/><Relationship Id="rId47" Type="http://schemas.openxmlformats.org/officeDocument/2006/relationships/hyperlink" Target="https://vibe-alpha-three.vercel.app/investor/stocks/AVGO/" TargetMode="External"/><Relationship Id="rId48" Type="http://schemas.openxmlformats.org/officeDocument/2006/relationships/hyperlink" Target="https://vibe-alpha-three.vercel.app/investor/stocks/510880.SH/" TargetMode="External"/><Relationship Id="rId49" Type="http://schemas.openxmlformats.org/officeDocument/2006/relationships/hyperlink" Target="https://vibe-alpha-three.vercel.app/investor/stocks/601398.SH/" TargetMode="External"/><Relationship Id="rId50" Type="http://schemas.openxmlformats.org/officeDocument/2006/relationships/hyperlink" Target="https://vibe-alpha-three.vercel.app/investor/stocks/600900.SH/" TargetMode="External"/><Relationship Id="rId51" Type="http://schemas.openxmlformats.org/officeDocument/2006/relationships/hyperlink" Target="https://vibe-alpha-three.vercel.app/investor/stocks/588000.SH/" TargetMode="External"/><Relationship Id="rId52" Type="http://schemas.openxmlformats.org/officeDocument/2006/relationships/hyperlink" Target="https://vibe-alpha-three.vercel.app/investor/stocks/688981.SH/" TargetMode="External"/><Relationship Id="rId53" Type="http://schemas.openxmlformats.org/officeDocument/2006/relationships/hyperlink" Target="https://vibe-alpha-three.vercel.app/investor/stocks/300308.SZ/" TargetMode="External"/><Relationship Id="rId54" Type="http://schemas.openxmlformats.org/officeDocument/2006/relationships/hyperlink" Target="https://vibe-alpha-three.vercel.app/investor/stocks/510300.SH/" TargetMode="External"/><Relationship Id="rId55" Type="http://schemas.openxmlformats.org/officeDocument/2006/relationships/hyperlink" Target="https://vibe-alpha-three.vercel.app/investor/stocks/159915.SZ/" TargetMode="External"/><Relationship Id="rId56" Type="http://schemas.openxmlformats.org/officeDocument/2006/relationships/hyperlink" Target="https://vibe-alpha-three.vercel.app/investor/stocks/2800.HK/" TargetMode="External"/><Relationship Id="rId57" Type="http://schemas.openxmlformats.org/officeDocument/2006/relationships/hyperlink" Target="https://vibe-alpha-three.vercel.app/investor/stocks/0700.HK/" TargetMode="External"/><Relationship Id="rId58" Type="http://schemas.openxmlformats.org/officeDocument/2006/relationships/hyperlink" Target="https://vibe-alpha-three.vercel.app/investor/stocks/9988.HK/" TargetMode="External"/><Relationship Id="rId59" Type="http://schemas.openxmlformats.org/officeDocument/2006/relationships/hyperlink" Target="https://vibe-alpha-three.vercel.app/investor/stocks/MSFT/" TargetMode="External"/><Relationship Id="rId60" Type="http://schemas.openxmlformats.org/officeDocument/2006/relationships/hyperlink" Target="https://vibe-alpha-three.vercel.app/investor/stocks/META/" TargetMode="External"/><Relationship Id="rId61" Type="http://schemas.openxmlformats.org/officeDocument/2006/relationships/hyperlink" Target="https://vibe-alpha-three.vercel.app/investor/stocks/AMZN/" TargetMode="External"/><Relationship Id="rId62" Type="http://schemas.openxmlformats.org/officeDocument/2006/relationships/hyperlink" Target="https://vibe-alpha-three.vercel.app/investor/stocks/GOOGL/" TargetMode="External"/><Relationship Id="rId63" Type="http://schemas.openxmlformats.org/officeDocument/2006/relationships/hyperlink" Target="https://vibe-alpha-three.vercel.app/investor/stocks/AAPL/" TargetMode="External"/><Relationship Id="rId64" Type="http://schemas.openxmlformats.org/officeDocument/2006/relationships/hyperlink" Target="https://vibe-alpha-three.vercel.app/investor/lanes/ai-power-and-grid-equipment/" TargetMode="External"/><Relationship Id="rId65" Type="http://schemas.openxmlformats.org/officeDocument/2006/relationships/hyperlink" Target="https://vibe-alpha-three.vercel.app/investor/lanes/a-share-semiconductor-margin-and-negative-gamma/" TargetMode="External"/><Relationship Id="rId66" Type="http://schemas.openxmlformats.org/officeDocument/2006/relationships/hyperlink" Target="https://vibe-alpha-three.vercel.app/investor/lanes/a-share-risk-appetite-and-margin/" TargetMode="External"/><Relationship Id="rId67" Type="http://schemas.openxmlformats.org/officeDocument/2006/relationships/hyperlink" Target="https://vibe-alpha-three.vercel.app/investor/lanes/advanced-packaging-and-hbm4-gate/" TargetMode="External"/><Relationship Id="rId68" Type="http://schemas.openxmlformats.org/officeDocument/2006/relationships/hyperlink" Target="https://vibe-alpha-three.vercel.app/investor/lanes/oil-gas-and-geopolitical-inflation/" TargetMode="External"/><Relationship Id="rId69" Type="http://schemas.openxmlformats.org/officeDocument/2006/relationships/hyperlink" Target="https://vibe-alpha-three.vercel.app/investor/lanes/us-rates-and-dollar-repricing/" TargetMode="External"/><Relationship Id="rId70" Type="http://schemas.openxmlformats.org/officeDocument/2006/relationships/hyperlink" Target="https://vibe-alpha-three.vercel.app/investor/lanes/a-share-hard-tech-and-star50/" TargetMode="External"/><Relationship Id="rId71" Type="http://schemas.openxmlformats.org/officeDocument/2006/relationships/hyperlink" Target="https://vibe-alpha-three.vercel.app/investor/lanes/yen-carry-and-em-tech-liquidity/" TargetMode="External"/><Relationship Id="rId72" Type="http://schemas.openxmlformats.org/officeDocument/2006/relationships/hyperlink" Target="https://vibe-alpha-three.vercel.app/investor/lanes/food-processing-and-input-cost-transmission/" TargetMode="External"/><Relationship Id="rId73" Type="http://schemas.openxmlformats.org/officeDocument/2006/relationships/hyperlink" Target="https://vibe-alpha-three.vercel.app/investor/lanes/china-healthcare-and-overseas-innovation-drug-monetization/" TargetMode="External"/><Relationship Id="rId74" Type="http://schemas.openxmlformats.org/officeDocument/2006/relationships/hyperlink" Target="https://vibe-alpha-three.vercel.app/investor/lanes/utilities-grid-rate-base-and-credit/" TargetMode="External"/><Relationship Id="rId75" Type="http://schemas.openxmlformats.org/officeDocument/2006/relationships/hyperlink" Target="https://vibe-alpha-three.vercel.app/investor/reports/archive-fcda802a9186/" TargetMode="External"/><Relationship Id="rId76" Type="http://schemas.openxmlformats.org/officeDocument/2006/relationships/hyperlink" Target="https://vibe-alpha-three.vercel.app/investor/reports/archive-0fe00dc455bf/" TargetMode="External"/><Relationship Id="rId77" Type="http://schemas.openxmlformats.org/officeDocument/2006/relationships/hyperlink" Target="https://vibe-alpha-three.vercel.app/investor/reports/archive-9f5b5f351d10/" TargetMode="External"/><Relationship Id="rId78" Type="http://schemas.openxmlformats.org/officeDocument/2006/relationships/hyperlink" Target="https://vibe-alpha-three.vercel.app/investor/reports/archive-6739c1be5579/" TargetMode="External"/><Relationship Id="rId79" Type="http://schemas.openxmlformats.org/officeDocument/2006/relationships/hyperlink" Target="https://vibe-alpha-three.vercel.app/investor/reports/archive-4e1e41c071c6/" TargetMode="External"/><Relationship Id="rId80" Type="http://schemas.openxmlformats.org/officeDocument/2006/relationships/hyperlink" Target="https://vibe-alpha-three.vercel.app/investor/reports/archive-84b78d7ceaf8/" TargetMode="External"/><Relationship Id="rId81" Type="http://schemas.openxmlformats.org/officeDocument/2006/relationships/hyperlink" Target="https://vibe-alpha-three.vercel.app/investor/reports/archive-dcfd2869c387/" TargetMode="External"/><Relationship Id="rId82" Type="http://schemas.openxmlformats.org/officeDocument/2006/relationships/hyperlink" Target="https://vibe-alpha-three.vercel.app/investor/reports/archive-1a12c7228f79/" TargetMode="External"/><Relationship Id="rId83" Type="http://schemas.openxmlformats.org/officeDocument/2006/relationships/hyperlink" Target="https://vibe-alpha-three.vercel.app/investor/reports/archive-8846f4008778/" TargetMode="External"/><Relationship Id="rId84" Type="http://schemas.openxmlformats.org/officeDocument/2006/relationships/hyperlink" Target="https://vibe-alpha-three.vercel.app/investor/reports/archive-1166e351e83d/" TargetMode="External"/><Relationship Id="rId85" Type="http://schemas.openxmlformats.org/officeDocument/2006/relationships/hyperlink" Target="https://vibe-alpha-three.vercel.app/investor/reports/archive-7b8fe036653e/" TargetMode="External"/><Relationship Id="rId86" Type="http://schemas.openxmlformats.org/officeDocument/2006/relationships/hyperlink" Target="https://vibe-alpha-three.vercel.app/investor/reports/archive-6f780ad28897/" TargetMode="External"/><Relationship Id="rId87" Type="http://schemas.openxmlformats.org/officeDocument/2006/relationships/hyperlink" Target="https://vibe-alpha-three.vercel.app/investor/reports/archive-505a8ff6e789/" TargetMode="External"/><Relationship Id="rId88" Type="http://schemas.openxmlformats.org/officeDocument/2006/relationships/hyperlink" Target="https://vibe-alpha-three.vercel.app/investor/reports/archive-db2f6c0b6e1f/" TargetMode="External"/><Relationship Id="rId89" Type="http://schemas.openxmlformats.org/officeDocument/2006/relationships/hyperlink" Target="https://vibe-alpha-three.vercel.app/investor/reports/archive-a0d43f9ca16b/" TargetMode="External"/><Relationship Id="rId90" Type="http://schemas.openxmlformats.org/officeDocument/2006/relationships/hyperlink" Target="https://vibe-alpha-three.vercel.app/investor/reports/archive-9baa2a2c9110/" TargetMode="External"/><Relationship Id="rId91" Type="http://schemas.openxmlformats.org/officeDocument/2006/relationships/hyperlink" Target="https://vibe-alpha-three.vercel.app/investor/reports/archive-5bcb9fba6a7a/" TargetMode="External"/><Relationship Id="rId92" Type="http://schemas.openxmlformats.org/officeDocument/2006/relationships/hyperlink" Target="https://vibe-alpha-three.vercel.app/investor/reports/archive-8d32db1e66af/" TargetMode="External"/><Relationship Id="rId93" Type="http://schemas.openxmlformats.org/officeDocument/2006/relationships/hyperlink" Target="https://vibe-alpha-three.vercel.app/investor/reports/archive-84055f6c8114/" TargetMode="External"/><Relationship Id="rId94" Type="http://schemas.openxmlformats.org/officeDocument/2006/relationships/hyperlink" Target="https://vibe-alpha-three.vercel.app/investor/reports/archive-731b324da879/" TargetMode="External"/><Relationship Id="rId95" Type="http://schemas.openxmlformats.org/officeDocument/2006/relationships/hyperlink" Target="https://vibe-alpha-three.vercel.app/investor/reports/archive-cb4652757998/" TargetMode="External"/><Relationship Id="rId96" Type="http://schemas.openxmlformats.org/officeDocument/2006/relationships/hyperlink" Target="https://vibe-alpha-three.vercel.app/investor/reports/archive-fa3192089abb/" TargetMode="External"/><Relationship Id="rId97" Type="http://schemas.openxmlformats.org/officeDocument/2006/relationships/hyperlink" Target="https://vibe-alpha-three.vercel.app/investor/reports/archive-a5fef2da9376/" TargetMode="External"/><Relationship Id="rId98" Type="http://schemas.openxmlformats.org/officeDocument/2006/relationships/hyperlink" Target="https://vibe-alpha-three.vercel.app/investor/reports/archive-5381873bd716/" TargetMode="External"/><Relationship Id="rId99" Type="http://schemas.openxmlformats.org/officeDocument/2006/relationships/hyperlink" Target="https://vibe-alpha-three.vercel.app/investor/reports/archive-168563784922/" TargetMode="External"/><Relationship Id="rId100" Type="http://schemas.openxmlformats.org/officeDocument/2006/relationships/hyperlink" Target="https://vibe-alpha-three.vercel.app/investor/reports/archive-50914eba58ab/" TargetMode="External"/><Relationship Id="rId101" Type="http://schemas.openxmlformats.org/officeDocument/2006/relationships/hyperlink" Target="https://vibe-alpha-three.vercel.app/investor/reports/archive-e665f3fa2db4/" TargetMode="External"/><Relationship Id="rId102" Type="http://schemas.openxmlformats.org/officeDocument/2006/relationships/hyperlink" Target="https://vibe-alpha-three.vercel.app/investor/reports/archive-b78220e118b4/" TargetMode="External"/><Relationship Id="rId103" Type="http://schemas.openxmlformats.org/officeDocument/2006/relationships/hyperlink" Target="https://vibe-alpha-three.vercel.app/investor/reports/archive-21be2057e00b/" TargetMode="External"/><Relationship Id="rId104" Type="http://schemas.openxmlformats.org/officeDocument/2006/relationships/hyperlink" Target="https://vibe-alpha-three.vercel.app/investor/reports/reader-daily-reader-2026-07-20/" TargetMode="External"/><Relationship Id="rId105" Type="http://schemas.openxmlformats.org/officeDocument/2006/relationships/hyperlink" Target="https://vibe-alpha-three.vercel.app/investor/reports/archive-d887267486ce/" TargetMode="External"/><Relationship Id="rId106" Type="http://schemas.openxmlformats.org/officeDocument/2006/relationships/hyperlink" Target="https://vibe-alpha-three.vercel.app/investor/reports/archive-923a59926e65/" TargetMode="External"/><Relationship Id="rId107" Type="http://schemas.openxmlformats.org/officeDocument/2006/relationships/hyperlink" Target="https://vibe-alpha-three.vercel.app/investor/reports/archive-b6383df26cc5/" TargetMode="External"/><Relationship Id="rId108" Type="http://schemas.openxmlformats.org/officeDocument/2006/relationships/hyperlink" Target="https://vibe-alpha-three.vercel.app/investor/reports/archive-6c49049029e0/" TargetMode="External"/><Relationship Id="rId109" Type="http://schemas.openxmlformats.org/officeDocument/2006/relationships/hyperlink" Target="https://vibe-alpha-three.vercel.app/investor/reports/archive-07c53ffbd790/" TargetMode="External"/><Relationship Id="rId110" Type="http://schemas.openxmlformats.org/officeDocument/2006/relationships/hyperlink" Target="https://vibe-alpha-three.vercel.app/investor/reports/archive-68787452453e/" TargetMode="External"/><Relationship Id="rId111" Type="http://schemas.openxmlformats.org/officeDocument/2006/relationships/hyperlink" Target="https://vibe-alpha-three.vercel.app/investor/reports/archive-fcb7c8a520a9/" TargetMode="External"/><Relationship Id="rId112" Type="http://schemas.openxmlformats.org/officeDocument/2006/relationships/hyperlink" Target="https://vibe-alpha-three.vercel.app/investor/reports/archive-34ccf8b2d93d/" TargetMode="External"/><Relationship Id="rId113" Type="http://schemas.openxmlformats.org/officeDocument/2006/relationships/hyperlink" Target="https://vibe-alpha-three.vercel.app/investor/reports/archive-500b7aac565c/" TargetMode="External"/><Relationship Id="rId114" Type="http://schemas.openxmlformats.org/officeDocument/2006/relationships/hyperlink" Target="https://vibe-alpha-three.vercel.app/investor/reports/archive-4bb9990bd787/" TargetMode="External"/><Relationship Id="rId115" Type="http://schemas.openxmlformats.org/officeDocument/2006/relationships/hyperlink" Target="https://vibe-alpha-three.vercel.app/investor/reports/archive-958b2ef3c7d8/" TargetMode="External"/><Relationship Id="rId116" Type="http://schemas.openxmlformats.org/officeDocument/2006/relationships/hyperlink" Target="https://vibe-alpha-three.vercel.app/investor/reports/archive-db7ca96eae30/" TargetMode="External"/><Relationship Id="rId117" Type="http://schemas.openxmlformats.org/officeDocument/2006/relationships/hyperlink" Target="https://vibe-alpha-three.vercel.app/investor/reports/archive-4a1b96409c4f/" TargetMode="External"/><Relationship Id="rId118" Type="http://schemas.openxmlformats.org/officeDocument/2006/relationships/hyperlink" Target="https://vibe-alpha-three.vercel.app/investor/reports/archive-30c49a4a929a/" TargetMode="External"/><Relationship Id="rId119" Type="http://schemas.openxmlformats.org/officeDocument/2006/relationships/hyperlink" Target="https://vibe-alpha-three.vercel.app/investor/reports/archive-a6acadae8efa/" TargetMode="External"/><Relationship Id="rId120" Type="http://schemas.openxmlformats.org/officeDocument/2006/relationships/hyperlink" Target="https://vibe-alpha-three.vercel.app/investor/reports/archive-8c4cacccf475/" TargetMode="External"/><Relationship Id="rId121" Type="http://schemas.openxmlformats.org/officeDocument/2006/relationships/hyperlink" Target="https://vibe-alpha-three.vercel.app/investor/reports/archive-5075f511e768/" TargetMode="External"/><Relationship Id="rId122" Type="http://schemas.openxmlformats.org/officeDocument/2006/relationships/hyperlink" Target="https://vibe-alpha-three.vercel.app/investor/reports/archive-277083974ca8/" TargetMode="External"/><Relationship Id="rId123" Type="http://schemas.openxmlformats.org/officeDocument/2006/relationships/hyperlink" Target="https://vibe-alpha-three.vercel.app/investor/reports/archive-333fde78057a/" TargetMode="External"/><Relationship Id="rId124" Type="http://schemas.openxmlformats.org/officeDocument/2006/relationships/hyperlink" Target="https://vibe-alpha-three.vercel.app/investor/reports/archive-f55f73d5444b/" TargetMode="External"/><Relationship Id="rId125" Type="http://schemas.openxmlformats.org/officeDocument/2006/relationships/hyperlink" Target="https://vibe-alpha-three.vercel.app/investor/reports/archive-3d24e39c8d7a/" TargetMode="External"/><Relationship Id="rId126" Type="http://schemas.openxmlformats.org/officeDocument/2006/relationships/hyperlink" Target="https://vibe-alpha-three.vercel.app/investor/reports/archive-df9c6c30d0a4/" TargetMode="External"/><Relationship Id="rId127" Type="http://schemas.openxmlformats.org/officeDocument/2006/relationships/hyperlink" Target="https://vibe-alpha-three.vercel.app/investor/reports/archive-9290faac57e3/" TargetMode="External"/><Relationship Id="rId128" Type="http://schemas.openxmlformats.org/officeDocument/2006/relationships/hyperlink" Target="https://vibe-alpha-three.vercel.app/investor/reports/archive-c35b030fd47b/" TargetMode="External"/><Relationship Id="rId129" Type="http://schemas.openxmlformats.org/officeDocument/2006/relationships/hyperlink" Target="https://vibe-alpha-three.vercel.app/investor/reports/archive-f4bebfb59eab/" TargetMode="External"/><Relationship Id="rId130" Type="http://schemas.openxmlformats.org/officeDocument/2006/relationships/hyperlink" Target="https://vibe-alpha-three.vercel.app/investor/reports/archive-5e3b1a3f6a15/" TargetMode="External"/><Relationship Id="rId131" Type="http://schemas.openxmlformats.org/officeDocument/2006/relationships/hyperlink" Target="https://vibe-alpha-three.vercel.app/investor/reports/archive-71604209c2ea/" TargetMode="External"/><Relationship Id="rId132" Type="http://schemas.openxmlformats.org/officeDocument/2006/relationships/hyperlink" Target="https://vibe-alpha-three.vercel.app/investor/reports/archive-2a7996121e05/" TargetMode="External"/><Relationship Id="rId133" Type="http://schemas.openxmlformats.org/officeDocument/2006/relationships/hyperlink" Target="https://vibe-alpha-three.vercel.app/investor/reports/archive-b6aaeb0bd0e4/" TargetMode="External"/><Relationship Id="rId134" Type="http://schemas.openxmlformats.org/officeDocument/2006/relationships/hyperlink" Target="https://vibe-alpha-three.vercel.app/investor/reports/archive-0d08c40fa890/" TargetMode="External"/><Relationship Id="rId135" Type="http://schemas.openxmlformats.org/officeDocument/2006/relationships/hyperlink" Target="https://vibe-alpha-three.vercel.app/investor/reports/archive-cd2d644dbc70/" TargetMode="External"/><Relationship Id="rId136" Type="http://schemas.openxmlformats.org/officeDocument/2006/relationships/hyperlink" Target="https://vibe-alpha-three.vercel.app/investor/reports/archive-da916f96346f/" TargetMode="External"/><Relationship Id="rId137" Type="http://schemas.openxmlformats.org/officeDocument/2006/relationships/hyperlink" Target="https://vibe-alpha-three.vercel.app/investor/reports/archive-176b7b32772e/" TargetMode="External"/><Relationship Id="rId138" Type="http://schemas.openxmlformats.org/officeDocument/2006/relationships/hyperlink" Target="https://vibe-alpha-three.vercel.app/investor/reports/archive-fe4c7ce4a201/" TargetMode="External"/><Relationship Id="rId139" Type="http://schemas.openxmlformats.org/officeDocument/2006/relationships/hyperlink" Target="https://vibe-alpha-three.vercel.app/investor/reports/archive-791ba752e5c4/" TargetMode="External"/><Relationship Id="rId140" Type="http://schemas.openxmlformats.org/officeDocument/2006/relationships/hyperlink" Target="https://vibe-alpha-three.vercel.app/investor/reports/archive-397c92bd74a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2026-W30｜从名义 AI 资本开支转向可通电、可回收、可变现</dc:title>
  <dc:subject>AI Institute weekly research report 2026-W30</dc:subject>
  <dc:creator>AI Institute</dc:creator>
  <cp:keywords>AI Institute, weekly research, investment research</cp:keywords>
  <dc:description>generated by python-docx</dc:description>
  <cp:lastModifiedBy/>
  <cp:revision>1</cp:revision>
  <dcterms:created xsi:type="dcterms:W3CDTF">2013-12-23T23:15:00Z</dcterms:created>
  <dcterms:modified xsi:type="dcterms:W3CDTF">2013-12-23T23:15:00Z</dcterms:modified>
  <cp:category/>
</cp:coreProperties>
</file>