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Calibri" w:hAnsi="Calibri" w:eastAsia="Songti SC"/>
          <w:b/>
          <w:i w:val="0"/>
          <w:color w:val="285B9D"/>
          <w:sz w:val="20"/>
        </w:rPr>
        <w:t>AI Institute</w:t>
      </w:r>
    </w:p>
    <w:p>
      <w:pPr>
        <w:pStyle w:val="Title"/>
        <w:spacing w:before="0" w:after="80" w:line="264" w:lineRule="auto"/>
      </w:pPr>
      <w:r>
        <w:rPr>
          <w:rFonts w:ascii="Calibri" w:hAnsi="Calibri" w:eastAsia="Songti SC"/>
          <w:b w:val="0"/>
          <w:i w:val="0"/>
        </w:rPr>
        <w:t>每日投资研究简报</w:t>
      </w:r>
    </w:p>
    <w:p>
      <w:pPr>
        <w:pStyle w:val="Subtitle"/>
        <w:spacing w:before="0" w:after="240" w:line="264" w:lineRule="auto"/>
      </w:pPr>
      <w:r>
        <w:rPr>
          <w:rFonts w:ascii="Calibri" w:hAnsi="Calibri" w:eastAsia="Songti SC"/>
          <w:b w:val="0"/>
          <w:i w:val="0"/>
        </w:rPr>
        <w:t>2026-07-26 · webpage screenshot DOCX edition</w:t>
      </w:r>
    </w:p>
    <w:p>
      <w:pPr>
        <w:spacing w:before="0" w:after="160" w:line="264" w:lineRule="auto"/>
      </w:pPr>
      <w:r>
        <w:rPr>
          <w:rFonts w:ascii="Calibri" w:hAnsi="Calibri" w:eastAsia="Songti SC"/>
          <w:b/>
          <w:i w:val="0"/>
          <w:color w:val="0B2545"/>
          <w:sz w:val="34"/>
        </w:rPr>
        <w:t>宏观通胀传导仍是今日主线，AI 基础设施提供第二层验证。</w:t>
      </w:r>
    </w:p>
    <w:p>
      <w:pPr>
        <w:spacing w:before="0" w:after="240" w:line="264" w:lineRule="auto"/>
      </w:pPr>
      <w:r>
        <w:rPr>
          <w:rFonts w:ascii="Calibri" w:hAnsi="Calibri" w:eastAsia="Songti SC"/>
          <w:b w:val="0"/>
          <w:i w:val="0"/>
          <w:color w:val="334155"/>
          <w:sz w:val="22"/>
        </w:rPr>
        <w:t>2026-07-26 共纳入 71 篇中文研究结果，覆盖 0 位活跃分析师和 5 条主要行业链，较 2026-07-25 的主题变化可在右侧动量表中核对。简报优先呈现可被报告链接追溯的结论，而不是孤立摘要。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Songti SC"/>
                <w:b/>
                <w:color w:val="667085"/>
                <w:sz w:val="17"/>
              </w:rPr>
              <w:t>今日报告</w:t>
              <w:br/>
            </w:r>
            <w:r>
              <w:rPr>
                <w:rFonts w:ascii="Calibri" w:hAnsi="Calibri" w:eastAsia="Songti SC"/>
                <w:b/>
                <w:color w:val="285B9D"/>
                <w:sz w:val="36"/>
              </w:rPr>
              <w:t>71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Songti SC"/>
                <w:b/>
                <w:color w:val="667085"/>
                <w:sz w:val="17"/>
              </w:rPr>
              <w:t>活跃分析师</w:t>
              <w:br/>
            </w:r>
            <w:r>
              <w:rPr>
                <w:rFonts w:ascii="Calibri" w:hAnsi="Calibri" w:eastAsia="Songti SC"/>
                <w:b/>
                <w:color w:val="237A5B"/>
                <w:sz w:val="36"/>
              </w:rPr>
              <w:t>0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Songti SC"/>
                <w:b/>
                <w:color w:val="667085"/>
                <w:sz w:val="17"/>
              </w:rPr>
              <w:t>活跃链条</w:t>
              <w:br/>
            </w:r>
            <w:r>
              <w:rPr>
                <w:rFonts w:ascii="Calibri" w:hAnsi="Calibri" w:eastAsia="Songti SC"/>
                <w:b/>
                <w:color w:val="A8731B"/>
                <w:sz w:val="36"/>
              </w:rPr>
              <w:t>5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Songti SC"/>
                <w:b/>
                <w:color w:val="667085"/>
                <w:sz w:val="17"/>
              </w:rPr>
              <w:t>风险信号</w:t>
              <w:br/>
            </w:r>
            <w:r>
              <w:rPr>
                <w:rFonts w:ascii="Calibri" w:hAnsi="Calibri" w:eastAsia="Songti SC"/>
                <w:b/>
                <w:color w:val="B43D49"/>
                <w:sz w:val="36"/>
              </w:rPr>
              <w:t>16</w:t>
            </w:r>
          </w:p>
        </w:tc>
      </w:tr>
    </w:tbl>
    <w:p>
      <w:pPr>
        <w:spacing w:before="0" w:after="160" w:line="264" w:lineRule="auto"/>
      </w:pP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7-26-web-summ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Songti SC"/>
          <w:b w:val="0"/>
          <w:i/>
          <w:color w:val="667085"/>
          <w:sz w:val="17"/>
        </w:rPr>
        <w:t>Figure 1. Webpage snapshot of the daily synthesis and key operating metrics.</w:t>
      </w:r>
    </w:p>
    <w:p>
      <w:pPr>
        <w:pStyle w:val="Heading1"/>
      </w:pPr>
      <w:r>
        <w:t>1. 综合研判</w:t>
      </w:r>
    </w:p>
    <w:p>
      <w:pPr>
        <w:spacing w:after="140"/>
        <w:ind w:left="259" w:hanging="259"/>
      </w:pPr>
      <w:r>
        <w:rPr>
          <w:rFonts w:ascii="Calibri" w:hAnsi="Calibri" w:eastAsia="Songti SC"/>
          <w:b/>
          <w:color w:val="285B9D"/>
          <w:sz w:val="21"/>
        </w:rPr>
        <w:t xml:space="preserve">主线判断: </w:t>
      </w:r>
      <w:hyperlink r:id="rId12">
        <w:r>
          <w:rPr>
            <w:color w:val="285B9D"/>
            <w:u w:val="single"/>
            <w:rFonts w:eastAsia="Songti SC" w:ascii="Calibri" w:hAnsi="Calibri"/>
          </w:rPr>
          <w:t>“有盈利硬科技”的可行性校验：半导体设备与先进封装的利润率趋势验证 是今日最高权重结论，核心证据来自 未识别，关联 半导体与存储。</w:t>
        </w:r>
      </w:hyperlink>
    </w:p>
    <w:p>
      <w:pPr>
        <w:spacing w:after="140"/>
        <w:ind w:left="259" w:hanging="259"/>
      </w:pPr>
      <w:r>
        <w:rPr>
          <w:rFonts w:ascii="Calibri" w:hAnsi="Calibri" w:eastAsia="Songti SC"/>
          <w:b/>
          <w:color w:val="285B9D"/>
          <w:sz w:val="21"/>
        </w:rPr>
        <w:t xml:space="preserve">变化信号: </w:t>
      </w:r>
      <w:r>
        <w:rPr>
          <w:rFonts w:ascii="Calibri" w:hAnsi="Calibri" w:eastAsia="Songti SC"/>
          <w:color w:val="111827"/>
          <w:sz w:val="21"/>
        </w:rPr>
        <w:t>通胀 今日 降温，当日计数 70，前一日计数 245。</w:t>
      </w:r>
    </w:p>
    <w:p>
      <w:pPr>
        <w:spacing w:after="140"/>
        <w:ind w:left="259" w:hanging="259"/>
      </w:pPr>
      <w:r>
        <w:rPr>
          <w:rFonts w:ascii="Calibri" w:hAnsi="Calibri" w:eastAsia="Songti SC"/>
          <w:b/>
          <w:color w:val="285B9D"/>
          <w:sz w:val="21"/>
        </w:rPr>
        <w:t xml:space="preserve">风险焦点: </w:t>
      </w:r>
      <w:hyperlink r:id="rId13">
        <w:r>
          <w:rPr>
            <w:color w:val="285B9D"/>
            <w:u w:val="single"/>
            <w:rFonts w:eastAsia="Songti SC" w:ascii="Calibri" w:hAnsi="Calibri"/>
          </w:rPr>
          <w:t>风险矩阵最需要跟踪的是 AI 基础设施：数据中心电力、电网和部署瓶颈对TSMC需求兑现的约束。</w:t>
        </w:r>
      </w:hyperlink>
    </w:p>
    <w:p>
      <w:pPr>
        <w:spacing w:after="140"/>
        <w:ind w:left="259" w:hanging="259"/>
      </w:pPr>
      <w:r>
        <w:rPr>
          <w:rFonts w:ascii="Calibri" w:hAnsi="Calibri" w:eastAsia="Songti SC"/>
          <w:b/>
          <w:color w:val="285B9D"/>
          <w:sz w:val="21"/>
        </w:rPr>
        <w:t xml:space="preserve">证据密度: </w:t>
      </w:r>
      <w:hyperlink r:id="rId14">
        <w:r>
          <w:rPr>
            <w:color w:val="285B9D"/>
            <w:u w:val="single"/>
            <w:rFonts w:eastAsia="Songti SC" w:ascii="Calibri" w:hAnsi="Calibri"/>
          </w:rPr>
          <w:t>宏观通胀传导 今日 70 条、近七日 1959 条，风险信号 1177 条。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FF7E6"/>
          </w:tcPr>
          <w:p>
            <w:r>
              <w:rPr>
                <w:rFonts w:ascii="Calibri" w:hAnsi="Calibri" w:eastAsia="Songti SC"/>
                <w:b/>
                <w:color w:val="7A5A00"/>
                <w:sz w:val="21"/>
              </w:rPr>
              <w:t xml:space="preserve">投资解读: </w:t>
            </w:r>
            <w:r>
              <w:rPr>
                <w:rFonts w:ascii="Calibri" w:hAnsi="Calibri" w:eastAsia="Songti SC"/>
                <w:color w:val="7C2D12"/>
                <w:sz w:val="21"/>
              </w:rPr>
              <w:t>投资含义上，本日简报更适合作为主题和风险筛选器：先看行业链雷达确认资金关注方向，再用风险矩阵排除证据不足或约束过强的交易表达。</w:t>
            </w:r>
          </w:p>
        </w:tc>
      </w:tr>
    </w:tbl>
    <w:p>
      <w:pPr>
        <w:spacing w:before="0" w:after="120" w:line="264" w:lineRule="auto"/>
      </w:pPr>
    </w:p>
    <w:p>
      <w:pPr>
        <w:pStyle w:val="Heading1"/>
      </w:pPr>
      <w:r>
        <w:t>2. 可视化仪表板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7-26-web-tren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Songti SC"/>
          <w:b w:val="0"/>
          <w:i/>
          <w:color w:val="667085"/>
          <w:sz w:val="17"/>
        </w:rPr>
        <w:t>Figure 2. Webpage snapshot of topic momentum and daily change signals.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7-26-web-chai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Songti SC"/>
          <w:b w:val="0"/>
          <w:i/>
          <w:color w:val="667085"/>
          <w:sz w:val="17"/>
        </w:rPr>
        <w:t>Figure 3. Webpage snapshot of industry-chain heat and evidence links.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7-26-web-ris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Songti SC"/>
          <w:b w:val="0"/>
          <w:i/>
          <w:color w:val="667085"/>
          <w:sz w:val="17"/>
        </w:rPr>
        <w:t>Figure 4. Webpage snapshot of the risk matrix and pressure-test items.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7-26-web-heat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Songti SC"/>
          <w:b w:val="0"/>
          <w:i/>
          <w:color w:val="667085"/>
          <w:sz w:val="17"/>
        </w:rPr>
        <w:t>Figure 5. Webpage snapshot of analyst activity and ranked conclusions.</w:t>
      </w:r>
    </w:p>
    <w:p>
      <w:pPr>
        <w:pStyle w:val="Heading1"/>
      </w:pPr>
      <w:r>
        <w:t>3. 今日核心结论</w:t>
      </w:r>
    </w:p>
    <w:p>
      <w:pPr>
        <w:spacing w:before="0" w:after="40" w:line="264" w:lineRule="auto"/>
      </w:pPr>
      <w:r>
        <w:rPr>
          <w:rFonts w:ascii="Calibri" w:hAnsi="Calibri" w:eastAsia="Songti SC"/>
          <w:b/>
          <w:i w:val="0"/>
          <w:color w:val="0B2545"/>
          <w:sz w:val="23"/>
        </w:rPr>
        <w:t>1. “有盈利硬科技”的可行性校验：半导体设备与先进封装的利润率趋势验证</w:t>
      </w:r>
    </w:p>
    <w:p>
      <w:pPr>
        <w:spacing w:before="0" w:after="4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>未识别 · 半导体与存储 · score 46.6</w:t>
      </w:r>
    </w:p>
    <w:p>
      <w:pPr>
        <w:spacing w:before="0" w:after="100" w:line="264" w:lineRule="auto"/>
      </w:pPr>
      <w:r>
        <w:rPr>
          <w:rFonts w:ascii="Calibri" w:hAnsi="Calibri" w:eastAsia="Songti SC"/>
          <w:b w:val="0"/>
          <w:i w:val="0"/>
          <w:color w:val="334155"/>
          <w:sz w:val="20"/>
        </w:rPr>
        <w:t>截至2026-07-26，本报告对前序“有盈利硬科技”加仓逻辑做压力测试。结论是选择性支持，而不是支持宽半导体beta上调：国产半导体设备具备足够的需求能见度和利润率水平，可以承接组合里的增量成...</w:t>
      </w:r>
    </w:p>
    <w:p>
      <w:pPr>
        <w:spacing w:before="0" w:after="16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 xml:space="preserve">Report: </w:t>
      </w:r>
      <w:hyperlink r:id="rId12">
        <w:r>
          <w:rPr>
            <w:color w:val="285B9D"/>
            <w:u w:val="single"/>
            <w:rFonts w:eastAsia="Songti SC" w:ascii="Calibri" w:hAnsi="Calibri"/>
          </w:rPr>
          <w:t>reports/archive-883cb8d70429</w:t>
        </w:r>
      </w:hyperlink>
    </w:p>
    <w:p>
      <w:pPr>
        <w:spacing w:before="0" w:after="40" w:line="264" w:lineRule="auto"/>
      </w:pPr>
      <w:r>
        <w:rPr>
          <w:rFonts w:ascii="Calibri" w:hAnsi="Calibri" w:eastAsia="Songti SC"/>
          <w:b/>
          <w:i w:val="0"/>
          <w:color w:val="0B2545"/>
          <w:sz w:val="23"/>
        </w:rPr>
        <w:t>2. 工业制造周报研究</w:t>
      </w:r>
    </w:p>
    <w:p>
      <w:pPr>
        <w:spacing w:before="0" w:after="4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>未识别 · 宏观通胀传导 · score 43.2</w:t>
      </w:r>
    </w:p>
    <w:p>
      <w:pPr>
        <w:spacing w:before="0" w:after="100" w:line="264" w:lineRule="auto"/>
      </w:pPr>
      <w:r>
        <w:rPr>
          <w:rFonts w:ascii="Calibri" w:hAnsi="Calibri" w:eastAsia="Songti SC"/>
          <w:b w:val="0"/>
          <w:i w:val="0"/>
          <w:color w:val="334155"/>
          <w:sz w:val="20"/>
        </w:rPr>
        <w:t>日期锚点： date +%Y-%m-%d 返回 2026-07-26。本报告覆盖最近已完成交易周： 2026-07-20 至 2026-07-24；价格收益以 2026-07-17 收盘至 2026-07-24 收盘计算，除非明确标注数据滞后。</w:t>
      </w:r>
    </w:p>
    <w:p>
      <w:pPr>
        <w:spacing w:before="0" w:after="16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 xml:space="preserve">Report: </w:t>
      </w:r>
      <w:hyperlink r:id="rId19">
        <w:r>
          <w:rPr>
            <w:color w:val="285B9D"/>
            <w:u w:val="single"/>
            <w:rFonts w:eastAsia="Songti SC" w:ascii="Calibri" w:hAnsi="Calibri"/>
          </w:rPr>
          <w:t>reports/archive-73950779e2f5</w:t>
        </w:r>
      </w:hyperlink>
    </w:p>
    <w:p>
      <w:pPr>
        <w:spacing w:before="0" w:after="40" w:line="264" w:lineRule="auto"/>
      </w:pPr>
      <w:r>
        <w:rPr>
          <w:rFonts w:ascii="Calibri" w:hAnsi="Calibri" w:eastAsia="Songti SC"/>
          <w:b/>
          <w:i w:val="0"/>
          <w:color w:val="0B2545"/>
          <w:sz w:val="23"/>
        </w:rPr>
        <w:t>3. research discussion Session Brief</w:t>
      </w:r>
    </w:p>
    <w:p>
      <w:pPr>
        <w:spacing w:before="0" w:after="4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>未识别 · 宏观通胀传导 · score 42.3</w:t>
      </w:r>
    </w:p>
    <w:p>
      <w:pPr>
        <w:spacing w:before="0" w:after="100" w:line="264" w:lineRule="auto"/>
      </w:pPr>
      <w:r>
        <w:rPr>
          <w:rFonts w:ascii="Calibri" w:hAnsi="Calibri" w:eastAsia="Songti SC"/>
          <w:b w:val="0"/>
          <w:i w:val="0"/>
          <w:color w:val="334155"/>
          <w:sz w:val="20"/>
        </w:rPr>
        <w:t>Board ID: 5b8b895b-3049-4eb2-856f-bc0dc4b8ea68 - Shared Agent Route session: 8cbbb6d6-b34f-4af0-9bbf-6e4d07081cf7 - Root topic: 美日货币政策背离：日央行加息至1%，日元却创40年新低 -...</w:t>
      </w:r>
    </w:p>
    <w:p>
      <w:pPr>
        <w:spacing w:before="0" w:after="16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 xml:space="preserve">Report: </w:t>
      </w:r>
      <w:hyperlink r:id="rId20">
        <w:r>
          <w:rPr>
            <w:color w:val="285B9D"/>
            <w:u w:val="single"/>
            <w:rFonts w:eastAsia="Songti SC" w:ascii="Calibri" w:hAnsi="Calibri"/>
          </w:rPr>
          <w:t>reports/archive-406e18739f66</w:t>
        </w:r>
      </w:hyperlink>
    </w:p>
    <w:p>
      <w:pPr>
        <w:spacing w:before="0" w:after="40" w:line="264" w:lineRule="auto"/>
      </w:pPr>
      <w:r>
        <w:rPr>
          <w:rFonts w:ascii="Calibri" w:hAnsi="Calibri" w:eastAsia="Songti SC"/>
          <w:b/>
          <w:i w:val="0"/>
          <w:color w:val="0B2545"/>
          <w:sz w:val="23"/>
        </w:rPr>
        <w:t>4. research discussion Session Brief</w:t>
      </w:r>
    </w:p>
    <w:p>
      <w:pPr>
        <w:spacing w:before="0" w:after="4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>未识别 · 宏观通胀传导 · score 42.2</w:t>
      </w:r>
    </w:p>
    <w:p>
      <w:pPr>
        <w:spacing w:before="0" w:after="100" w:line="264" w:lineRule="auto"/>
      </w:pPr>
      <w:r>
        <w:rPr>
          <w:rFonts w:ascii="Calibri" w:hAnsi="Calibri" w:eastAsia="Songti SC"/>
          <w:b w:val="0"/>
          <w:i w:val="0"/>
          <w:color w:val="334155"/>
          <w:sz w:val="20"/>
        </w:rPr>
        <w:t>Board ID: 91c8acd2-1cf2-4373-9751-44c397c57518 - Shared Agent Route session: 4f55761f-593c-4e62-9d11-3278f3424324 - Root topic: 7月FOMC的油价通胀冲击与意外加息风险 - Current card i...</w:t>
      </w:r>
    </w:p>
    <w:p>
      <w:pPr>
        <w:spacing w:before="0" w:after="16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 xml:space="preserve">Report: </w:t>
      </w:r>
      <w:hyperlink r:id="rId21">
        <w:r>
          <w:rPr>
            <w:color w:val="285B9D"/>
            <w:u w:val="single"/>
            <w:rFonts w:eastAsia="Songti SC" w:ascii="Calibri" w:hAnsi="Calibri"/>
          </w:rPr>
          <w:t>reports/archive-51334975d545</w:t>
        </w:r>
      </w:hyperlink>
    </w:p>
    <w:p>
      <w:pPr>
        <w:spacing w:before="0" w:after="40" w:line="264" w:lineRule="auto"/>
      </w:pPr>
      <w:r>
        <w:rPr>
          <w:rFonts w:ascii="Calibri" w:hAnsi="Calibri" w:eastAsia="Songti SC"/>
          <w:b/>
          <w:i w:val="0"/>
          <w:color w:val="0B2545"/>
          <w:sz w:val="23"/>
        </w:rPr>
        <w:t>5. §0 YAML HEADER</w:t>
      </w:r>
    </w:p>
    <w:p>
      <w:pPr>
        <w:spacing w:before="0" w:after="4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>未识别 · 宏观通胀传导 · score 40.8</w:t>
      </w:r>
    </w:p>
    <w:p>
      <w:pPr>
        <w:spacing w:before="0" w:after="100" w:line="264" w:lineRule="auto"/>
      </w:pPr>
      <w:r>
        <w:rPr>
          <w:rFonts w:ascii="Calibri" w:hAnsi="Calibri" w:eastAsia="Songti SC"/>
          <w:b w:val="0"/>
          <w:i w:val="0"/>
          <w:color w:val="334155"/>
          <w:sz w:val="20"/>
        </w:rPr>
        <w:t>日期锚点： date +%Y-%m-%d 返回 2026-07-26。本报告覆盖最近已完成交易周： 2026-07-20 至 2026-07-24；价格收益以 2026-07-17 收盘至 2026-07-24 收盘计算，除非明确标注数据滞后。</w:t>
      </w:r>
    </w:p>
    <w:p>
      <w:pPr>
        <w:spacing w:before="0" w:after="16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 xml:space="preserve">Report: </w:t>
      </w:r>
      <w:hyperlink r:id="rId22">
        <w:r>
          <w:rPr>
            <w:color w:val="285B9D"/>
            <w:u w:val="single"/>
            <w:rFonts w:eastAsia="Songti SC" w:ascii="Calibri" w:hAnsi="Calibri"/>
          </w:rPr>
          <w:t>reports/archive-812af6e8c9c9</w:t>
        </w:r>
      </w:hyperlink>
    </w:p>
    <w:p>
      <w:pPr>
        <w:spacing w:before="0" w:after="40" w:line="264" w:lineRule="auto"/>
      </w:pPr>
      <w:r>
        <w:rPr>
          <w:rFonts w:ascii="Calibri" w:hAnsi="Calibri" w:eastAsia="Songti SC"/>
          <w:b/>
          <w:i w:val="0"/>
          <w:color w:val="0B2545"/>
          <w:sz w:val="23"/>
        </w:rPr>
        <w:t>6. 2026-07-26 全球宏观开局卡：7月FOMC的油价通胀冲击</w:t>
      </w:r>
    </w:p>
    <w:p>
      <w:pPr>
        <w:spacing w:before="0" w:after="4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>未识别 · 宏观通胀传导 · score 40.7</w:t>
      </w:r>
    </w:p>
    <w:p>
      <w:pPr>
        <w:spacing w:before="0" w:after="100" w:line="264" w:lineRule="auto"/>
      </w:pPr>
      <w:r>
        <w:rPr>
          <w:rFonts w:ascii="Calibri" w:hAnsi="Calibri" w:eastAsia="Songti SC"/>
          <w:b w:val="0"/>
          <w:i w:val="0"/>
          <w:color w:val="334155"/>
          <w:sz w:val="20"/>
        </w:rPr>
        <w:t>工作日期：2026-07-26，Asia/Singapore。本报告由 global-macro 撰写，核心问题是：在 Federal Reserve 于 2026年7月28-29日 召开会议前，油价驱动的再定价是否足以让组合为意外加息做准备，而...</w:t>
      </w:r>
    </w:p>
    <w:p>
      <w:pPr>
        <w:spacing w:before="0" w:after="16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 xml:space="preserve">Report: </w:t>
      </w:r>
      <w:hyperlink r:id="rId23">
        <w:r>
          <w:rPr>
            <w:color w:val="285B9D"/>
            <w:u w:val="single"/>
            <w:rFonts w:eastAsia="Songti SC" w:ascii="Calibri" w:hAnsi="Calibri"/>
          </w:rPr>
          <w:t>reports/archive-95254fcbdf58</w:t>
        </w:r>
      </w:hyperlink>
    </w:p>
    <w:p>
      <w:pPr>
        <w:pStyle w:val="Heading1"/>
      </w:pPr>
      <w:r>
        <w:t>4. 重点跟踪事项</w:t>
      </w:r>
    </w:p>
    <w:p>
      <w:pPr>
        <w:spacing w:before="0" w:after="40" w:line="264" w:lineRule="auto"/>
      </w:pPr>
      <w:r>
        <w:rPr>
          <w:rFonts w:ascii="Calibri" w:hAnsi="Calibri" w:eastAsia="Songti SC"/>
          <w:b/>
          <w:i w:val="0"/>
          <w:color w:val="0B2545"/>
          <w:sz w:val="22"/>
        </w:rPr>
        <w:t>数据中心电力、电网和部署瓶颈对TSMC需求兑现的约束</w:t>
      </w:r>
    </w:p>
    <w:p>
      <w:pPr>
        <w:spacing w:before="0" w:after="60" w:line="264" w:lineRule="auto"/>
      </w:pPr>
      <w:r>
        <w:rPr>
          <w:rFonts w:ascii="Calibri" w:hAnsi="Calibri" w:eastAsia="Songti SC"/>
          <w:b w:val="0"/>
          <w:i w:val="0"/>
          <w:color w:val="334155"/>
          <w:sz w:val="20"/>
        </w:rPr>
        <w:t>AI 基础设施，影响 5 / 概率 3</w:t>
      </w:r>
    </w:p>
    <w:p>
      <w:pPr>
        <w:spacing w:before="0" w:after="16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 xml:space="preserve">Report: </w:t>
      </w:r>
      <w:hyperlink r:id="rId13">
        <w:r>
          <w:rPr>
            <w:color w:val="285B9D"/>
            <w:u w:val="single"/>
            <w:rFonts w:eastAsia="Songti SC" w:ascii="Calibri" w:hAnsi="Calibri"/>
          </w:rPr>
          <w:t>reports/archive-878095100273</w:t>
        </w:r>
      </w:hyperlink>
    </w:p>
    <w:p>
      <w:pPr>
        <w:spacing w:before="0" w:after="40" w:line="264" w:lineRule="auto"/>
      </w:pPr>
      <w:r>
        <w:rPr>
          <w:rFonts w:ascii="Calibri" w:hAnsi="Calibri" w:eastAsia="Songti SC"/>
          <w:b/>
          <w:i w:val="0"/>
          <w:color w:val="0B2545"/>
          <w:sz w:val="22"/>
        </w:rPr>
        <w:t>电网关键设备供应链压力测试：变压器产能缺口、开关柜瓶颈与AI数据中心交付风险</w:t>
      </w:r>
    </w:p>
    <w:p>
      <w:pPr>
        <w:spacing w:before="0" w:after="60" w:line="264" w:lineRule="auto"/>
      </w:pPr>
      <w:r>
        <w:rPr>
          <w:rFonts w:ascii="Calibri" w:hAnsi="Calibri" w:eastAsia="Songti SC"/>
          <w:b w:val="0"/>
          <w:i w:val="0"/>
          <w:color w:val="334155"/>
          <w:sz w:val="20"/>
        </w:rPr>
        <w:t>工业供给瓶颈，影响 5 / 概率 4</w:t>
      </w:r>
    </w:p>
    <w:p>
      <w:pPr>
        <w:spacing w:before="0" w:after="16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 xml:space="preserve">Report: </w:t>
      </w:r>
      <w:hyperlink r:id="rId24">
        <w:r>
          <w:rPr>
            <w:color w:val="285B9D"/>
            <w:u w:val="single"/>
            <w:rFonts w:eastAsia="Songti SC" w:ascii="Calibri" w:hAnsi="Calibri"/>
          </w:rPr>
          <w:t>reports/archive-2edfd7e782e3</w:t>
        </w:r>
      </w:hyperlink>
    </w:p>
    <w:p>
      <w:pPr>
        <w:spacing w:before="0" w:after="40" w:line="264" w:lineRule="auto"/>
      </w:pPr>
      <w:r>
        <w:rPr>
          <w:rFonts w:ascii="Calibri" w:hAnsi="Calibri" w:eastAsia="Songti SC"/>
          <w:b/>
          <w:i w:val="0"/>
          <w:color w:val="0B2545"/>
          <w:sz w:val="22"/>
        </w:rPr>
        <w:t>AI数据中心电力交付、并网队列与云厂商Capex可执行性压力测试</w:t>
      </w:r>
    </w:p>
    <w:p>
      <w:pPr>
        <w:spacing w:before="0" w:after="60" w:line="264" w:lineRule="auto"/>
      </w:pPr>
      <w:r>
        <w:rPr>
          <w:rFonts w:ascii="Calibri" w:hAnsi="Calibri" w:eastAsia="Songti SC"/>
          <w:b w:val="0"/>
          <w:i w:val="0"/>
          <w:color w:val="334155"/>
          <w:sz w:val="20"/>
        </w:rPr>
        <w:t>AI 基础设施，影响 5 / 概率 5</w:t>
      </w:r>
    </w:p>
    <w:p>
      <w:pPr>
        <w:spacing w:before="0" w:after="16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 xml:space="preserve">Report: </w:t>
      </w:r>
      <w:hyperlink r:id="rId25">
        <w:r>
          <w:rPr>
            <w:color w:val="285B9D"/>
            <w:u w:val="single"/>
            <w:rFonts w:eastAsia="Songti SC" w:ascii="Calibri" w:hAnsi="Calibri"/>
          </w:rPr>
          <w:t>reports/archive-5f40ee11aa06</w:t>
        </w:r>
      </w:hyperlink>
    </w:p>
    <w:p>
      <w:pPr>
        <w:pStyle w:val="Heading1"/>
      </w:pPr>
      <w:r>
        <w:t>5. 证据表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720"/>
        <w:gridCol w:w="1560"/>
        <w:gridCol w:w="1680"/>
        <w:gridCol w:w="900"/>
        <w:gridCol w:w="1500"/>
      </w:tblGrid>
      <w:tr>
        <w:tc>
          <w:tcPr>
            <w:tcW w:type="dxa" w:w="372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475569"/>
                <w:sz w:val="18"/>
              </w:rPr>
              <w:t>报告</w:t>
            </w:r>
          </w:p>
        </w:tc>
        <w:tc>
          <w:tcPr>
            <w:tcW w:type="dxa" w:w="156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475569"/>
                <w:sz w:val="18"/>
              </w:rPr>
              <w:t>分析师</w:t>
            </w:r>
          </w:p>
        </w:tc>
        <w:tc>
          <w:tcPr>
            <w:tcW w:type="dxa" w:w="168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475569"/>
                <w:sz w:val="18"/>
              </w:rPr>
              <w:t>行业链</w:t>
            </w:r>
          </w:p>
        </w:tc>
        <w:tc>
          <w:tcPr>
            <w:tcW w:type="dxa" w:w="9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475569"/>
                <w:sz w:val="18"/>
              </w:rPr>
              <w:t>评分</w:t>
            </w:r>
          </w:p>
        </w:tc>
        <w:tc>
          <w:tcPr>
            <w:tcW w:type="dxa" w:w="15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475569"/>
                <w:sz w:val="18"/>
              </w:rPr>
              <w:t>风险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“有盈利硬科技”的可行性校验：半导体设备与先进封装的利润率趋势验证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半导体与存储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46.6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工业制造周报研究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43.2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research discussion Session Brief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42.3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research discussion Session Brief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42.2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§0 YAML HEADER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40.8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2026-07-26 全球宏观开局卡：7月FOMC的油价通胀冲击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40.7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国内政策与流动性能否把 ETF 买盘转化为持续宽基配置行情？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40.5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2026-07-26 - 加息风险升至40%后的跨资产风险预算再平衡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40.4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Warsh 的第一场真考验：鹰派新主席撞上正在走弱的劳动力市场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40.2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工业制造周报 QA Review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39.9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第10号研究卡 — 2026-07-26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39.7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TMT周报研究包QA审阅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39.6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research discussion Session Brief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39.5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A股再通胀/价值卫星仓的可交易执行篮子——流动性、拥挤度与重叠控制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39.5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美联储2026下半年路径：基准是按兵，降息才是平仓触发器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39.4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前序研究研究报告 - 2026-07-26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39.4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美联储降息 / 日元回流冲击下的多资产对冲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39.1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A股红利/低波防御组合的可执行行业权重、流动性与拥挤度约束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39.1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1</w:t>
            </w:r>
          </w:p>
        </w:tc>
      </w:tr>
    </w:tbl>
    <w:p>
      <w:pPr>
        <w:spacing w:before="0" w:after="160" w:line="264" w:lineRule="auto"/>
      </w:pPr>
      <w:r>
        <w:rPr>
          <w:rFonts w:ascii="Calibri" w:hAnsi="Calibri" w:eastAsia="Songti SC"/>
          <w:b w:val="0"/>
          <w:i/>
          <w:color w:val="667085"/>
          <w:sz w:val="17"/>
        </w:rPr>
        <w:t>Table 1. Evidence table excerpt. Full evidence remains available in the interactive daily brief.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Songti SC"/>
        <w:color w:val="667085"/>
        <w:sz w:val="17"/>
      </w:rPr>
      <w:t>Generated from local AI Institute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Songti SC"/>
        <w:color w:val="667085"/>
        <w:sz w:val="18"/>
      </w:rPr>
      <w:t>AI Institute Daily Investor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Songti SC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Songti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Songti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Songti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Songti SC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Songti SC"/>
      <w:b w:val="0"/>
      <w:i/>
      <w:iCs/>
      <w:color w:val="47556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reports/archive-883cb8d70429" TargetMode="External"/><Relationship Id="rId13" Type="http://schemas.openxmlformats.org/officeDocument/2006/relationships/hyperlink" Target="reports/archive-878095100273" TargetMode="External"/><Relationship Id="rId14" Type="http://schemas.openxmlformats.org/officeDocument/2006/relationships/hyperlink" Target="reports/archive-d848ccc6fceb" TargetMode="Externa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hyperlink" Target="reports/archive-73950779e2f5" TargetMode="External"/><Relationship Id="rId20" Type="http://schemas.openxmlformats.org/officeDocument/2006/relationships/hyperlink" Target="reports/archive-406e18739f66" TargetMode="External"/><Relationship Id="rId21" Type="http://schemas.openxmlformats.org/officeDocument/2006/relationships/hyperlink" Target="reports/archive-51334975d545" TargetMode="External"/><Relationship Id="rId22" Type="http://schemas.openxmlformats.org/officeDocument/2006/relationships/hyperlink" Target="reports/archive-812af6e8c9c9" TargetMode="External"/><Relationship Id="rId23" Type="http://schemas.openxmlformats.org/officeDocument/2006/relationships/hyperlink" Target="reports/archive-95254fcbdf58" TargetMode="External"/><Relationship Id="rId24" Type="http://schemas.openxmlformats.org/officeDocument/2006/relationships/hyperlink" Target="reports/archive-2edfd7e782e3" TargetMode="External"/><Relationship Id="rId25" Type="http://schemas.openxmlformats.org/officeDocument/2006/relationships/hyperlink" Target="reports/archive-5f40ee11aa0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Institute Daily Brief 2026-07-26</dc:title>
  <dc:subject>Daily investor research brief</dc:subject>
  <dc:creator>AI Institute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