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2026-05-22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2026-05-22 共纳入 91 篇中文研究结果，覆盖 17 位活跃分析师和 6 条主要行业链，较 2026-05-21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91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17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智算中心扩张下的能源供给压力与新型电力系统建设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宏观 今日 降温，当日计数 75，前一日计数 170。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工业供给瓶颈：工业制造分析师报告 - 2026-05-19。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81 条、近七日 1119 条，风险信号 804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智算中心扩张下的能源供给压力与新型电力系统建设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52.6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作者：能源行业分析师 - 日期 (Asia/Singapore)：2026-05-22 - 研究记录 — 立场： support（支持） - 议题主线：量子纠错与 AI 算力范式转移 - 本报告问题：随着国产 GPU 在推理市场规模化，如...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reports/archive-9e988f0804e5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催化剂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深研主编 · 宏观通胀传导 · score 46.6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本报告仅覆盖 TSLA。方向含义为对 TSLA 经营、估值叙事或短期股价预期的影响方向；幅度分为高、中、低，主要依据事件对交付量、毛利率、现金流、监管可扩张性和治理折价的潜在影响。未由 TSLA...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reports/archive-fc6cf11317cd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能源价格压力下的工业原材料价格韧性与利润空间分析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46.0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- 分析师：材料行业分析师（ materials-analyst ） - 立场： 支持（support） - 工作日： 2026-05-22 （亚洲/新加坡时区） - 上游研究记录：prior research notes— 能源行业分析师，"...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reports/archive-03214f5ebbc4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铜、铝、锂的叙事分化与资产配置抉择：从价格追逐向防御回调切换的策略研判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首席策略师 · 宏观通胀传导 · score 45.8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报告日期：2026-05-22 工作流来源：材料行业分析师 · 大宗商品价格追踪 ( analyst:materials-analyst:commodity price tracker ) 数据锚定点：2026年5月22日 (当前策略研判时点) 首席策略师：C...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reports/archive-aa12bf6e82f8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能源价格冲击对全球通胀传导的深度评估（压力测试）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45.2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- 分析师：能源行业分析师（ energy-analyst ） - 立场： 压力测试（stress-test） - 工作日： 2026-05-22 （亚洲/新加坡时区） - 上游研究记录：prior research notes— 首席经济学家...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reports/archive-6bb32bd61466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能源行业2026-05-22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45.0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截至研究所工作日期 2026-05-22，本报告对前序研究 08（ tmt-analyst ）给出的乐观判断进行 stress-test（压力测试）。尽管我们支持前序研究关于AI硬件订单爆发、中游设备商毛利率坚挺的结论...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reports/archive-9147324c94f8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工业制造分析师报告 - 2026-05-19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reports/archive-095f02714610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研究报告：2026-05-17 - 变压器供应瓶颈与GOES利润捕获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2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reports/archive-8e56e5109bff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研究记录 07 · 硅钢（GOES）产能缺口对变压器毛利的压力测试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reports/archive-c1f1503528aa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智算中心扩张下的能源供给压力与新型电力系统建设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催化剂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能源价格压力下的工业原材料价格韧性与利润空间分析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铜、铝、锂的叙事分化与资产配置抉择：从价格追逐向防御回调切换的策略研判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首席策略师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能源价格冲击对全球通胀传导的深度评估（压力测试）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能源行业2026-05-22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notes: 电网容量瓶颈下的公用事业板块估值重塑与绿色电力溢价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智算中心扩张的能源账单是否被高估？——对前序研究的反向质询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投资论点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风险评估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大宗商品价格走势与供需变化跟踪（铜 / 铝 / 锂 / 钢）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材料行业分析师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目标价与评级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宏观分析报告：高油价、SPR去化与2026年美联储降息路径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全球宏观分析师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需求传导与利润弹性 analysis：高端制造技改投资如何驱动国内半导体设备与AI硬件供应链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金融行业2026-05-22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研究报告：收益率曲线边界与“类债”高股息资产的估值支撑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中国宏观与政策晨报 — 2026-05-22（周五）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晨会主编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深度研究报告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e988f0804e5" TargetMode="External"/><Relationship Id="rId13" Type="http://schemas.openxmlformats.org/officeDocument/2006/relationships/hyperlink" Target="reports/archive-095f02714610" TargetMode="External"/><Relationship Id="rId14" Type="http://schemas.openxmlformats.org/officeDocument/2006/relationships/hyperlink" Target="reports/archive-fc15a1a3a59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fc6cf11317cd" TargetMode="External"/><Relationship Id="rId20" Type="http://schemas.openxmlformats.org/officeDocument/2006/relationships/hyperlink" Target="reports/archive-03214f5ebbc4" TargetMode="External"/><Relationship Id="rId21" Type="http://schemas.openxmlformats.org/officeDocument/2006/relationships/hyperlink" Target="reports/archive-aa12bf6e82f8" TargetMode="External"/><Relationship Id="rId22" Type="http://schemas.openxmlformats.org/officeDocument/2006/relationships/hyperlink" Target="reports/archive-6bb32bd61466" TargetMode="External"/><Relationship Id="rId23" Type="http://schemas.openxmlformats.org/officeDocument/2006/relationships/hyperlink" Target="reports/archive-9147324c94f8" TargetMode="External"/><Relationship Id="rId24" Type="http://schemas.openxmlformats.org/officeDocument/2006/relationships/hyperlink" Target="reports/archive-8e56e5109bff" TargetMode="External"/><Relationship Id="rId25" Type="http://schemas.openxmlformats.org/officeDocument/2006/relationships/hyperlink" Target="reports/archive-c1f1503528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2026-05-22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