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2026-08-19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2026-08-19 共纳入 1 篇中文研究结果，覆盖 0 位活跃分析师和 1 条主要行业链，较 2026-08-18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9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research discussion Session Brief 是今日最高权重结论，核心证据来自 未识别，关联 宏观通胀传导。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能源 今日 升温，当日计数 1，前一日计数 0。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基础设施：prior research notes— AI 数据中心电力与电网设备瓶颈：2027 年 capex run-rate 能否被 powered-...。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宏观通胀传导 今日 1 条、近七日 1257 条，风险信号 797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9-web-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9-web-chai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9-web-ri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9-web-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research discussion Session Brief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34.0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Board ID: eba91012-1ebf-46f5-9381-13d0e7468952 - Shared Agent Route session: 0e689ed9-0c57-48e7-a2e1-132a368bc178 - Root topic: RDDT入标会不会放大meme与被动资金反身性？ - Current c...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reports/archive-bbe07c7ebc6b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prior research notes— AI 数据中心电力与电网设备瓶颈：2027 年 capex run-rate 能否被 powered-...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2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reports/archive-b4ec8ef3430e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工业制造压力测试：变压器与燃气轮机OEM扩产能否在2028年前压缩AI电力设备交期？（截至2026-08-16...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2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8">
        <w:r>
          <w:rPr>
            <w:color w:val="285B9D"/>
            <w:u w:val="single"/>
            <w:rFonts w:eastAsia="Arial Unicode MS" w:ascii="Calibri" w:hAnsi="Calibri"/>
          </w:rPr>
          <w:t>reports/archive-497a81b51eee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AI数据中心电力瓶颈量化：电网并网排队、设备交付周期与hyperscaler电力采购（截至2026-08-16）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电力与电网，影响 5 / 概率 2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reports/archive-fb62d5d075f2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34.0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bbe07c7ebc6b" TargetMode="External"/><Relationship Id="rId13" Type="http://schemas.openxmlformats.org/officeDocument/2006/relationships/hyperlink" Target="reports/archive-b4ec8ef3430e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reports/archive-497a81b51eee" TargetMode="External"/><Relationship Id="rId19" Type="http://schemas.openxmlformats.org/officeDocument/2006/relationships/hyperlink" Target="reports/archive-fb62d5d075f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2026-08-19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