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eiti TC"/>
          <w:b/>
          <w:i w:val="0"/>
          <w:color w:val="285B9D"/>
          <w:sz w:val="20"/>
        </w:rPr>
        <w:t>AI Institute</w:t>
      </w:r>
    </w:p>
    <w:p>
      <w:pPr>
        <w:pStyle w:val="Title"/>
        <w:spacing w:before="0" w:after="80" w:line="264" w:lineRule="auto"/>
      </w:pPr>
      <w:r>
        <w:rPr>
          <w:rFonts w:ascii="Calibri" w:hAnsi="Calibri" w:eastAsia="Heiti TC"/>
          <w:b w:val="0"/>
          <w:i w:val="0"/>
        </w:rPr>
        <w:t>每日投资研究简报</w:t>
      </w:r>
    </w:p>
    <w:p>
      <w:pPr>
        <w:pStyle w:val="Subtitle"/>
        <w:spacing w:before="0" w:after="240" w:line="264" w:lineRule="auto"/>
      </w:pPr>
      <w:r>
        <w:rPr>
          <w:rFonts w:ascii="Calibri" w:hAnsi="Calibri" w:eastAsia="Heiti TC"/>
          <w:b w:val="0"/>
          <w:i w:val="0"/>
        </w:rPr>
        <w:t>2026-08-11 · webpage screenshot DOCX edition</w:t>
      </w:r>
    </w:p>
    <w:p>
      <w:pPr>
        <w:spacing w:before="0" w:after="160" w:line="264" w:lineRule="auto"/>
      </w:pPr>
      <w:r>
        <w:rPr>
          <w:rFonts w:ascii="Calibri" w:hAnsi="Calibri" w:eastAsia="Heiti TC"/>
          <w:b/>
          <w:i w:val="0"/>
          <w:color w:val="0B2545"/>
          <w:sz w:val="34"/>
        </w:rPr>
        <w:t>宏观通胀传导仍是今日主线，AI 基础设施提供第二层验证。</w:t>
      </w:r>
    </w:p>
    <w:p>
      <w:pPr>
        <w:spacing w:before="0" w:after="240" w:line="264" w:lineRule="auto"/>
      </w:pPr>
      <w:r>
        <w:rPr>
          <w:rFonts w:ascii="Calibri" w:hAnsi="Calibri" w:eastAsia="Heiti TC"/>
          <w:b w:val="0"/>
          <w:i w:val="0"/>
          <w:color w:val="334155"/>
          <w:sz w:val="22"/>
        </w:rPr>
        <w:t>2026-08-11 共纳入 51 篇中文研究结果，覆盖 0 位活跃分析师和 4 条主要行业链，较 2026-08-10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eiti TC"/>
                <w:b/>
                <w:color w:val="667085"/>
                <w:sz w:val="17"/>
              </w:rPr>
              <w:t>今日报告</w:t>
              <w:br/>
            </w:r>
            <w:r>
              <w:rPr>
                <w:rFonts w:ascii="Calibri" w:hAnsi="Calibri" w:eastAsia="Heiti TC"/>
                <w:b/>
                <w:color w:val="285B9D"/>
                <w:sz w:val="36"/>
              </w:rPr>
              <w:t>51</w:t>
            </w:r>
          </w:p>
        </w:tc>
        <w:tc>
          <w:tcPr>
            <w:tcW w:type="dxa" w:w="2340"/>
            <w:vAlign w:val="center"/>
            <w:shd w:fill="F8FAFC"/>
          </w:tcPr>
          <w:p>
            <w:pPr>
              <w:spacing w:after="40"/>
            </w:pPr>
            <w:r>
              <w:rPr>
                <w:rFonts w:ascii="Calibri" w:hAnsi="Calibri" w:eastAsia="Heiti TC"/>
                <w:b/>
                <w:color w:val="667085"/>
                <w:sz w:val="17"/>
              </w:rPr>
              <w:t>活跃分析师</w:t>
              <w:br/>
            </w:r>
            <w:r>
              <w:rPr>
                <w:rFonts w:ascii="Calibri" w:hAnsi="Calibri" w:eastAsia="Heiti TC"/>
                <w:b/>
                <w:color w:val="237A5B"/>
                <w:sz w:val="36"/>
              </w:rPr>
              <w:t>0</w:t>
            </w:r>
          </w:p>
        </w:tc>
        <w:tc>
          <w:tcPr>
            <w:tcW w:type="dxa" w:w="2340"/>
            <w:vAlign w:val="center"/>
            <w:shd w:fill="F8FAFC"/>
          </w:tcPr>
          <w:p>
            <w:pPr>
              <w:spacing w:after="40"/>
            </w:pPr>
            <w:r>
              <w:rPr>
                <w:rFonts w:ascii="Calibri" w:hAnsi="Calibri" w:eastAsia="Heiti TC"/>
                <w:b/>
                <w:color w:val="667085"/>
                <w:sz w:val="17"/>
              </w:rPr>
              <w:t>活跃链条</w:t>
              <w:br/>
            </w:r>
            <w:r>
              <w:rPr>
                <w:rFonts w:ascii="Calibri" w:hAnsi="Calibri" w:eastAsia="Heiti TC"/>
                <w:b/>
                <w:color w:val="A8731B"/>
                <w:sz w:val="36"/>
              </w:rPr>
              <w:t>4</w:t>
            </w:r>
          </w:p>
        </w:tc>
        <w:tc>
          <w:tcPr>
            <w:tcW w:type="dxa" w:w="2340"/>
            <w:vAlign w:val="center"/>
            <w:shd w:fill="F8FAFC"/>
          </w:tcPr>
          <w:p>
            <w:pPr>
              <w:spacing w:after="40"/>
            </w:pPr>
            <w:r>
              <w:rPr>
                <w:rFonts w:ascii="Calibri" w:hAnsi="Calibri" w:eastAsia="Heiti TC"/>
                <w:b/>
                <w:color w:val="667085"/>
                <w:sz w:val="17"/>
              </w:rPr>
              <w:t>风险信号</w:t>
              <w:br/>
            </w:r>
            <w:r>
              <w:rPr>
                <w:rFonts w:ascii="Calibri" w:hAnsi="Calibri" w:eastAsia="Heiti T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8-11-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eiti TC"/>
          <w:b/>
          <w:color w:val="285B9D"/>
          <w:sz w:val="21"/>
        </w:rPr>
        <w:t xml:space="preserve">主线判断: </w:t>
      </w:r>
      <w:hyperlink r:id="rId12">
        <w:r>
          <w:rPr>
            <w:color w:val="285B9D"/>
            <w:u w:val="single"/>
            <w:rFonts w:eastAsia="Heiti TC" w:ascii="Calibri" w:hAnsi="Calibri"/>
          </w:rPr>
          <w:t>2026-08-11 A股成长压力测试：收窄半导体超配后的拥挤度治理 是今日最高权重结论，核心证据来自 未识别，关联 半导体与存储。</w:t>
        </w:r>
      </w:hyperlink>
    </w:p>
    <w:p>
      <w:pPr>
        <w:spacing w:after="140"/>
        <w:ind w:left="259" w:hanging="259"/>
      </w:pPr>
      <w:r>
        <w:rPr>
          <w:rFonts w:ascii="Calibri" w:hAnsi="Calibri" w:eastAsia="Heiti TC"/>
          <w:b/>
          <w:color w:val="285B9D"/>
          <w:sz w:val="21"/>
        </w:rPr>
        <w:t xml:space="preserve">变化信号: </w:t>
      </w:r>
      <w:r>
        <w:rPr>
          <w:rFonts w:ascii="Calibri" w:hAnsi="Calibri" w:eastAsia="Heiti TC"/>
          <w:color w:val="111827"/>
          <w:sz w:val="21"/>
        </w:rPr>
        <w:t>AI 今日 降温，当日计数 44，前一日计数 318。</w:t>
      </w:r>
    </w:p>
    <w:p>
      <w:pPr>
        <w:spacing w:after="140"/>
        <w:ind w:left="259" w:hanging="259"/>
      </w:pPr>
      <w:r>
        <w:rPr>
          <w:rFonts w:ascii="Calibri" w:hAnsi="Calibri" w:eastAsia="Heiti TC"/>
          <w:b/>
          <w:color w:val="285B9D"/>
          <w:sz w:val="21"/>
        </w:rPr>
        <w:t xml:space="preserve">风险焦点: </w:t>
      </w:r>
      <w:hyperlink r:id="rId13">
        <w:r>
          <w:rPr>
            <w:color w:val="285B9D"/>
            <w:u w:val="single"/>
            <w:rFonts w:eastAsia="Heiti TC" w:ascii="Calibri" w:hAnsi="Calibri"/>
          </w:rPr>
          <w:t>风险矩阵最需要跟踪的是 AI 基础设施：research discussion Session Brief。</w:t>
        </w:r>
      </w:hyperlink>
    </w:p>
    <w:p>
      <w:pPr>
        <w:spacing w:after="140"/>
        <w:ind w:left="259" w:hanging="259"/>
      </w:pPr>
      <w:r>
        <w:rPr>
          <w:rFonts w:ascii="Calibri" w:hAnsi="Calibri" w:eastAsia="Heiti TC"/>
          <w:b/>
          <w:color w:val="285B9D"/>
          <w:sz w:val="21"/>
        </w:rPr>
        <w:t xml:space="preserve">证据密度: </w:t>
      </w:r>
      <w:hyperlink r:id="rId14">
        <w:r>
          <w:rPr>
            <w:color w:val="285B9D"/>
            <w:u w:val="single"/>
            <w:rFonts w:eastAsia="Heiti TC" w:ascii="Calibri" w:hAnsi="Calibri"/>
          </w:rPr>
          <w:t>宏观通胀传导 今日 48 条、近七日 1666 条，风险信号 1169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eiti TC"/>
                <w:b/>
                <w:color w:val="7A5A00"/>
                <w:sz w:val="21"/>
              </w:rPr>
              <w:t xml:space="preserve">投资解读: </w:t>
            </w:r>
            <w:r>
              <w:rPr>
                <w:rFonts w:ascii="Calibri" w:hAnsi="Calibri" w:eastAsia="Heiti T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8-11-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8-11-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8-11-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8-11-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eiti TC"/>
          <w:b/>
          <w:i w:val="0"/>
          <w:color w:val="0B2545"/>
          <w:sz w:val="23"/>
        </w:rPr>
        <w:t>1. 2026-08-11 A股成长压力测试：收窄半导体超配后的拥挤度治理</w:t>
      </w:r>
    </w:p>
    <w:p>
      <w:pPr>
        <w:spacing w:before="0" w:after="40" w:line="264" w:lineRule="auto"/>
      </w:pPr>
      <w:r>
        <w:rPr>
          <w:rFonts w:ascii="Calibri" w:hAnsi="Calibri" w:eastAsia="Heiti TC"/>
          <w:b w:val="0"/>
          <w:i w:val="0"/>
          <w:color w:val="667085"/>
          <w:sz w:val="17"/>
        </w:rPr>
        <w:t>未识别 · 半导体与存储 · score 50.0</w:t>
      </w:r>
    </w:p>
    <w:p>
      <w:pPr>
        <w:spacing w:before="0" w:after="100" w:line="264" w:lineRule="auto"/>
      </w:pPr>
      <w:r>
        <w:rPr>
          <w:rFonts w:ascii="Calibri" w:hAnsi="Calibri" w:eastAsia="Heiti TC"/>
          <w:b w:val="0"/>
          <w:i w:val="0"/>
          <w:color w:val="334155"/>
          <w:sz w:val="20"/>
        </w:rPr>
        <w:t>分析师: chief-strategist 工作日期: 2026-08-11，Asia/Singapore 机构锚定日期。 主题: 半导体超配收窄至设备、材料和先进封装之后，A股成长风格、科创板 beta 与因子轮动。 立场: stress-test...</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reports/archive-39e221c28442</w:t>
        </w:r>
      </w:hyperlink>
    </w:p>
    <w:p>
      <w:pPr>
        <w:spacing w:before="0" w:after="40" w:line="264" w:lineRule="auto"/>
      </w:pPr>
      <w:r>
        <w:rPr>
          <w:rFonts w:ascii="Calibri" w:hAnsi="Calibri" w:eastAsia="Heiti TC"/>
          <w:b/>
          <w:i w:val="0"/>
          <w:color w:val="0B2545"/>
          <w:sz w:val="23"/>
        </w:rPr>
        <w:t>2. research discussion Session Brief</w:t>
      </w:r>
    </w:p>
    <w:p>
      <w:pPr>
        <w:spacing w:before="0" w:after="40" w:line="264" w:lineRule="auto"/>
      </w:pPr>
      <w:r>
        <w:rPr>
          <w:rFonts w:ascii="Calibri" w:hAnsi="Calibri" w:eastAsia="Heiti TC"/>
          <w:b w:val="0"/>
          <w:i w:val="0"/>
          <w:color w:val="667085"/>
          <w:sz w:val="17"/>
        </w:rPr>
        <w:t>未识别 · 宏观通胀传导 · score 42.8</w:t>
      </w:r>
    </w:p>
    <w:p>
      <w:pPr>
        <w:spacing w:before="0" w:after="100" w:line="264" w:lineRule="auto"/>
      </w:pPr>
      <w:r>
        <w:rPr>
          <w:rFonts w:ascii="Calibri" w:hAnsi="Calibri" w:eastAsia="Heiti TC"/>
          <w:b w:val="0"/>
          <w:i w:val="0"/>
          <w:color w:val="334155"/>
          <w:sz w:val="20"/>
        </w:rPr>
        <w:t>Board ID: b037f58f-4f21-4874-91b9-a13838f9620c - Shared Agent Route session: e9223447-77cc-4e98-8d4a-f7c6b9e5b3e1 - Root topic: 2026-08-11：7月CPI前的Fed通胀-就业权衡 - Current car...</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reports/archive-e53450838d1f</w:t>
        </w:r>
      </w:hyperlink>
    </w:p>
    <w:p>
      <w:pPr>
        <w:spacing w:before="0" w:after="40" w:line="264" w:lineRule="auto"/>
      </w:pPr>
      <w:r>
        <w:rPr>
          <w:rFonts w:ascii="Calibri" w:hAnsi="Calibri" w:eastAsia="Heiti TC"/>
          <w:b/>
          <w:i w:val="0"/>
          <w:color w:val="0B2545"/>
          <w:sz w:val="23"/>
        </w:rPr>
        <w:t>3. research discussion Session Brief</w:t>
      </w:r>
    </w:p>
    <w:p>
      <w:pPr>
        <w:spacing w:before="0" w:after="40" w:line="264" w:lineRule="auto"/>
      </w:pPr>
      <w:r>
        <w:rPr>
          <w:rFonts w:ascii="Calibri" w:hAnsi="Calibri" w:eastAsia="Heiti TC"/>
          <w:b w:val="0"/>
          <w:i w:val="0"/>
          <w:color w:val="667085"/>
          <w:sz w:val="17"/>
        </w:rPr>
        <w:t>未识别 · 宏观通胀传导 · score 42.2</w:t>
      </w:r>
    </w:p>
    <w:p>
      <w:pPr>
        <w:spacing w:before="0" w:after="100" w:line="264" w:lineRule="auto"/>
      </w:pPr>
      <w:r>
        <w:rPr>
          <w:rFonts w:ascii="Calibri" w:hAnsi="Calibri" w:eastAsia="Heiti TC"/>
          <w:b w:val="0"/>
          <w:i w:val="0"/>
          <w:color w:val="334155"/>
          <w:sz w:val="20"/>
        </w:rPr>
        <w:t>Board ID: 8f8b6913-c63f-4ae9-82a0-a4fb369984e7 - Shared Agent Route session: d7cfc369-b07b-4766-acf0-5441cafb408d - Root topic: 美联储的滞胀困局:油价驱动的鹰派异议与走弱就业市场的...</w:t>
      </w:r>
    </w:p>
    <w:p>
      <w:pPr>
        <w:spacing w:before="0" w:after="160" w:line="264" w:lineRule="auto"/>
      </w:pPr>
      <w:r>
        <w:rPr>
          <w:rFonts w:ascii="Calibri" w:hAnsi="Calibri" w:eastAsia="Heiti TC"/>
          <w:b w:val="0"/>
          <w:i w:val="0"/>
          <w:color w:val="667085"/>
          <w:sz w:val="17"/>
        </w:rPr>
        <w:t xml:space="preserve">Report: </w:t>
      </w:r>
      <w:hyperlink r:id="rId20">
        <w:r>
          <w:rPr>
            <w:color w:val="285B9D"/>
            <w:u w:val="single"/>
            <w:rFonts w:eastAsia="Heiti TC" w:ascii="Calibri" w:hAnsi="Calibri"/>
          </w:rPr>
          <w:t>reports/archive-dddb1545d1d4</w:t>
        </w:r>
      </w:hyperlink>
    </w:p>
    <w:p>
      <w:pPr>
        <w:spacing w:before="0" w:after="40" w:line="264" w:lineRule="auto"/>
      </w:pPr>
      <w:r>
        <w:rPr>
          <w:rFonts w:ascii="Calibri" w:hAnsi="Calibri" w:eastAsia="Heiti TC"/>
          <w:b/>
          <w:i w:val="0"/>
          <w:color w:val="0B2545"/>
          <w:sz w:val="23"/>
        </w:rPr>
        <w:t>4. 研究报告：2026-08-11</w:t>
      </w:r>
    </w:p>
    <w:p>
      <w:pPr>
        <w:spacing w:before="0" w:after="40" w:line="264" w:lineRule="auto"/>
      </w:pPr>
      <w:r>
        <w:rPr>
          <w:rFonts w:ascii="Calibri" w:hAnsi="Calibri" w:eastAsia="Heiti TC"/>
          <w:b w:val="0"/>
          <w:i w:val="0"/>
          <w:color w:val="667085"/>
          <w:sz w:val="17"/>
        </w:rPr>
        <w:t>未识别 · 宏观通胀传导 · score 41.1</w:t>
      </w:r>
    </w:p>
    <w:p>
      <w:pPr>
        <w:spacing w:before="0" w:after="100" w:line="264" w:lineRule="auto"/>
      </w:pPr>
      <w:r>
        <w:rPr>
          <w:rFonts w:ascii="Calibri" w:hAnsi="Calibri" w:eastAsia="Heiti TC"/>
          <w:b w:val="0"/>
          <w:i w:val="0"/>
          <w:color w:val="334155"/>
          <w:sz w:val="20"/>
        </w:rPr>
        <w:t>截至研究所工作日 2026-08-11，我对前序逻辑作综合判断：如果 2026-08-13 公布的 7 月社融确认偏弱，而央行在 8 月 LPR 报价中继续维持 2026-07-20 已见的 1 年期 3.00% / 5 年期以上 3.50% 不...</w:t>
      </w:r>
    </w:p>
    <w:p>
      <w:pPr>
        <w:spacing w:before="0" w:after="160" w:line="264" w:lineRule="auto"/>
      </w:pPr>
      <w:r>
        <w:rPr>
          <w:rFonts w:ascii="Calibri" w:hAnsi="Calibri" w:eastAsia="Heiti TC"/>
          <w:b w:val="0"/>
          <w:i w:val="0"/>
          <w:color w:val="667085"/>
          <w:sz w:val="17"/>
        </w:rPr>
        <w:t xml:space="preserve">Report: </w:t>
      </w:r>
      <w:hyperlink r:id="rId21">
        <w:r>
          <w:rPr>
            <w:color w:val="285B9D"/>
            <w:u w:val="single"/>
            <w:rFonts w:eastAsia="Heiti TC" w:ascii="Calibri" w:hAnsi="Calibri"/>
          </w:rPr>
          <w:t>reports/archive-4414af5ef435</w:t>
        </w:r>
      </w:hyperlink>
    </w:p>
    <w:p>
      <w:pPr>
        <w:spacing w:before="0" w:after="40" w:line="264" w:lineRule="auto"/>
      </w:pPr>
      <w:r>
        <w:rPr>
          <w:rFonts w:ascii="Calibri" w:hAnsi="Calibri" w:eastAsia="Heiti TC"/>
          <w:b/>
          <w:i w:val="0"/>
          <w:color w:val="0B2545"/>
          <w:sz w:val="23"/>
        </w:rPr>
        <w:t>5. 2026-08-11 研究记录10：CPI后三情景决策树尚不能实证打分</w:t>
      </w:r>
    </w:p>
    <w:p>
      <w:pPr>
        <w:spacing w:before="0" w:after="40" w:line="264" w:lineRule="auto"/>
      </w:pPr>
      <w:r>
        <w:rPr>
          <w:rFonts w:ascii="Calibri" w:hAnsi="Calibri" w:eastAsia="Heiti TC"/>
          <w:b w:val="0"/>
          <w:i w:val="0"/>
          <w:color w:val="667085"/>
          <w:sz w:val="17"/>
        </w:rPr>
        <w:t>未识别 · 宏观通胀传导 · score 40.7</w:t>
      </w:r>
    </w:p>
    <w:p>
      <w:pPr>
        <w:spacing w:before="0" w:after="100" w:line="264" w:lineRule="auto"/>
      </w:pPr>
      <w:r>
        <w:rPr>
          <w:rFonts w:ascii="Calibri" w:hAnsi="Calibri" w:eastAsia="Heiti TC"/>
          <w:b w:val="0"/>
          <w:i w:val="0"/>
          <w:color w:val="334155"/>
          <w:sz w:val="20"/>
        </w:rPr>
        <w:t>工作日期：2026-08-11（Asia/Singapore）。本报告综合前序USD/CNY决策树，但否定“已经可以对7月CPI及其后首个中国交易时段打分”的前提：BLS排期显示，2026年7月CPI将在2026-08-12 08:30 ET公...</w:t>
      </w:r>
    </w:p>
    <w:p>
      <w:pPr>
        <w:spacing w:before="0" w:after="160" w:line="264" w:lineRule="auto"/>
      </w:pPr>
      <w:r>
        <w:rPr>
          <w:rFonts w:ascii="Calibri" w:hAnsi="Calibri" w:eastAsia="Heiti TC"/>
          <w:b w:val="0"/>
          <w:i w:val="0"/>
          <w:color w:val="667085"/>
          <w:sz w:val="17"/>
        </w:rPr>
        <w:t xml:space="preserve">Report: </w:t>
      </w:r>
      <w:hyperlink r:id="rId22">
        <w:r>
          <w:rPr>
            <w:color w:val="285B9D"/>
            <w:u w:val="single"/>
            <w:rFonts w:eastAsia="Heiti TC" w:ascii="Calibri" w:hAnsi="Calibri"/>
          </w:rPr>
          <w:t>reports/archive-d4f6bc285637</w:t>
        </w:r>
      </w:hyperlink>
    </w:p>
    <w:p>
      <w:pPr>
        <w:spacing w:before="0" w:after="40" w:line="264" w:lineRule="auto"/>
      </w:pPr>
      <w:r>
        <w:rPr>
          <w:rFonts w:ascii="Calibri" w:hAnsi="Calibri" w:eastAsia="Heiti TC"/>
          <w:b/>
          <w:i w:val="0"/>
          <w:color w:val="0B2545"/>
          <w:sz w:val="23"/>
        </w:rPr>
        <w:t>6. 2026年8月中国政策组合：不要把AI硬件出口价格误读为内需再通胀</w:t>
      </w:r>
    </w:p>
    <w:p>
      <w:pPr>
        <w:spacing w:before="0" w:after="40" w:line="264" w:lineRule="auto"/>
      </w:pPr>
      <w:r>
        <w:rPr>
          <w:rFonts w:ascii="Calibri" w:hAnsi="Calibri" w:eastAsia="Heiti TC"/>
          <w:b w:val="0"/>
          <w:i w:val="0"/>
          <w:color w:val="667085"/>
          <w:sz w:val="17"/>
        </w:rPr>
        <w:t>未识别 · 宏观通胀传导 · score 40.5</w:t>
      </w:r>
    </w:p>
    <w:p>
      <w:pPr>
        <w:spacing w:before="0" w:after="100" w:line="264" w:lineRule="auto"/>
      </w:pPr>
      <w:r>
        <w:rPr>
          <w:rFonts w:ascii="Calibri" w:hAnsi="Calibri" w:eastAsia="Heiti TC"/>
          <w:b w:val="0"/>
          <w:i w:val="0"/>
          <w:color w:val="334155"/>
          <w:sz w:val="20"/>
        </w:rPr>
        <w:t>全球宏观分析师 立场：synthesize 工作日期：2026-08-11（Asia/Singapore）</w:t>
      </w:r>
    </w:p>
    <w:p>
      <w:pPr>
        <w:spacing w:before="0" w:after="160" w:line="264" w:lineRule="auto"/>
      </w:pPr>
      <w:r>
        <w:rPr>
          <w:rFonts w:ascii="Calibri" w:hAnsi="Calibri" w:eastAsia="Heiti TC"/>
          <w:b w:val="0"/>
          <w:i w:val="0"/>
          <w:color w:val="667085"/>
          <w:sz w:val="17"/>
        </w:rPr>
        <w:t xml:space="preserve">Report: </w:t>
      </w:r>
      <w:hyperlink r:id="rId23">
        <w:r>
          <w:rPr>
            <w:color w:val="285B9D"/>
            <w:u w:val="single"/>
            <w:rFonts w:eastAsia="Heiti TC" w:ascii="Calibri" w:hAnsi="Calibri"/>
          </w:rPr>
          <w:t>reports/archive-1c4974040fd3</w:t>
        </w:r>
      </w:hyperlink>
    </w:p>
    <w:p>
      <w:pPr>
        <w:pStyle w:val="Heading1"/>
      </w:pPr>
      <w:r>
        <w:t>4. 重点跟踪事项</w:t>
      </w:r>
    </w:p>
    <w:p>
      <w:pPr>
        <w:spacing w:before="0" w:after="40" w:line="264" w:lineRule="auto"/>
      </w:pPr>
      <w:r>
        <w:rPr>
          <w:rFonts w:ascii="Calibri" w:hAnsi="Calibri" w:eastAsia="Heiti TC"/>
          <w:b/>
          <w:i w:val="0"/>
          <w:color w:val="0B2545"/>
          <w:sz w:val="22"/>
        </w:rPr>
        <w:t>research discussion Session Brief</w:t>
      </w:r>
    </w:p>
    <w:p>
      <w:pPr>
        <w:spacing w:before="0" w:after="60" w:line="264" w:lineRule="auto"/>
      </w:pPr>
      <w:r>
        <w:rPr>
          <w:rFonts w:ascii="Calibri" w:hAnsi="Calibri" w:eastAsia="Heiti TC"/>
          <w:b w:val="0"/>
          <w:i w:val="0"/>
          <w:color w:val="334155"/>
          <w:sz w:val="20"/>
        </w:rPr>
        <w:t>AI 基础设施，影响 5 / 概率 4</w:t>
      </w:r>
    </w:p>
    <w:p>
      <w:pPr>
        <w:spacing w:before="0" w:after="160" w:line="264" w:lineRule="auto"/>
      </w:pPr>
      <w:r>
        <w:rPr>
          <w:rFonts w:ascii="Calibri" w:hAnsi="Calibri" w:eastAsia="Heiti TC"/>
          <w:b w:val="0"/>
          <w:i w:val="0"/>
          <w:color w:val="667085"/>
          <w:sz w:val="17"/>
        </w:rPr>
        <w:t xml:space="preserve">Report: </w:t>
      </w:r>
      <w:hyperlink r:id="rId13">
        <w:r>
          <w:rPr>
            <w:color w:val="285B9D"/>
            <w:u w:val="single"/>
            <w:rFonts w:eastAsia="Heiti TC" w:ascii="Calibri" w:hAnsi="Calibri"/>
          </w:rPr>
          <w:t>reports/archive-d7796555327c</w:t>
        </w:r>
      </w:hyperlink>
    </w:p>
    <w:p>
      <w:pPr>
        <w:spacing w:before="0" w:after="40" w:line="264" w:lineRule="auto"/>
      </w:pPr>
      <w:r>
        <w:rPr>
          <w:rFonts w:ascii="Calibri" w:hAnsi="Calibri" w:eastAsia="Heiti TC"/>
          <w:b/>
          <w:i w:val="0"/>
          <w:color w:val="0B2545"/>
          <w:sz w:val="22"/>
        </w:rPr>
        <w:t>AI电力瓶颈第二阶段重估，2026-08-06</w:t>
      </w:r>
    </w:p>
    <w:p>
      <w:pPr>
        <w:spacing w:before="0" w:after="60" w:line="264" w:lineRule="auto"/>
      </w:pPr>
      <w:r>
        <w:rPr>
          <w:rFonts w:ascii="Calibri" w:hAnsi="Calibri" w:eastAsia="Heiti TC"/>
          <w:b w:val="0"/>
          <w:i w:val="0"/>
          <w:color w:val="334155"/>
          <w:sz w:val="20"/>
        </w:rPr>
        <w:t>电力与电网，影响 5 / 概率 2</w:t>
      </w:r>
    </w:p>
    <w:p>
      <w:pPr>
        <w:spacing w:before="0" w:after="160" w:line="264" w:lineRule="auto"/>
      </w:pPr>
      <w:r>
        <w:rPr>
          <w:rFonts w:ascii="Calibri" w:hAnsi="Calibri" w:eastAsia="Heiti TC"/>
          <w:b w:val="0"/>
          <w:i w:val="0"/>
          <w:color w:val="667085"/>
          <w:sz w:val="17"/>
        </w:rPr>
        <w:t xml:space="preserve">Report: </w:t>
      </w:r>
      <w:hyperlink r:id="rId24">
        <w:r>
          <w:rPr>
            <w:color w:val="285B9D"/>
            <w:u w:val="single"/>
            <w:rFonts w:eastAsia="Heiti TC" w:ascii="Calibri" w:hAnsi="Calibri"/>
          </w:rPr>
          <w:t>reports/archive-959d0a1ef2ce</w:t>
        </w:r>
      </w:hyperlink>
    </w:p>
    <w:p>
      <w:pPr>
        <w:spacing w:before="0" w:after="40" w:line="264" w:lineRule="auto"/>
      </w:pPr>
      <w:r>
        <w:rPr>
          <w:rFonts w:ascii="Calibri" w:hAnsi="Calibri" w:eastAsia="Heiti TC"/>
          <w:b/>
          <w:i w:val="0"/>
          <w:color w:val="0B2545"/>
          <w:sz w:val="22"/>
        </w:rPr>
        <w:t>prior research notes— 燃机、变压器与电站EPC供应链：可交付产能与受益公司排序</w:t>
      </w:r>
    </w:p>
    <w:p>
      <w:pPr>
        <w:spacing w:before="0" w:after="60" w:line="264" w:lineRule="auto"/>
      </w:pPr>
      <w:r>
        <w:rPr>
          <w:rFonts w:ascii="Calibri" w:hAnsi="Calibri" w:eastAsia="Heiti TC"/>
          <w:b w:val="0"/>
          <w:i w:val="0"/>
          <w:color w:val="334155"/>
          <w:sz w:val="20"/>
        </w:rPr>
        <w:t>工业供给瓶颈，影响 5 / 概率 4</w:t>
      </w:r>
    </w:p>
    <w:p>
      <w:pPr>
        <w:spacing w:before="0" w:after="160" w:line="264" w:lineRule="auto"/>
      </w:pPr>
      <w:r>
        <w:rPr>
          <w:rFonts w:ascii="Calibri" w:hAnsi="Calibri" w:eastAsia="Heiti TC"/>
          <w:b w:val="0"/>
          <w:i w:val="0"/>
          <w:color w:val="667085"/>
          <w:sz w:val="17"/>
        </w:rPr>
        <w:t xml:space="preserve">Report: </w:t>
      </w:r>
      <w:hyperlink r:id="rId25">
        <w:r>
          <w:rPr>
            <w:color w:val="285B9D"/>
            <w:u w:val="single"/>
            <w:rFonts w:eastAsia="Heiti TC" w:ascii="Calibri" w:hAnsi="Calibri"/>
          </w:rPr>
          <w:t>reports/archive-0ca16e22b75f</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eiti TC"/>
                <w:b/>
                <w:color w:val="475569"/>
                <w:sz w:val="18"/>
              </w:rPr>
              <w:t>报告</w:t>
            </w:r>
          </w:p>
        </w:tc>
        <w:tc>
          <w:tcPr>
            <w:tcW w:type="dxa" w:w="1560"/>
            <w:vAlign w:val="center"/>
            <w:shd w:fill="F2F4F7"/>
          </w:tcPr>
          <w:p>
            <w:pPr>
              <w:spacing w:before="0" w:after="0"/>
              <w:jc w:val="center"/>
            </w:pPr>
            <w:r/>
            <w:r>
              <w:rPr>
                <w:rFonts w:ascii="Calibri" w:hAnsi="Calibri" w:eastAsia="Heiti TC"/>
                <w:b/>
                <w:color w:val="475569"/>
                <w:sz w:val="18"/>
              </w:rPr>
              <w:t>分析师</w:t>
            </w:r>
          </w:p>
        </w:tc>
        <w:tc>
          <w:tcPr>
            <w:tcW w:type="dxa" w:w="1680"/>
            <w:vAlign w:val="center"/>
            <w:shd w:fill="F2F4F7"/>
          </w:tcPr>
          <w:p>
            <w:pPr>
              <w:spacing w:before="0" w:after="0"/>
              <w:jc w:val="center"/>
            </w:pPr>
            <w:r/>
            <w:r>
              <w:rPr>
                <w:rFonts w:ascii="Calibri" w:hAnsi="Calibri" w:eastAsia="Heiti TC"/>
                <w:b/>
                <w:color w:val="475569"/>
                <w:sz w:val="18"/>
              </w:rPr>
              <w:t>行业链</w:t>
            </w:r>
          </w:p>
        </w:tc>
        <w:tc>
          <w:tcPr>
            <w:tcW w:type="dxa" w:w="900"/>
            <w:vAlign w:val="center"/>
            <w:shd w:fill="F2F4F7"/>
          </w:tcPr>
          <w:p>
            <w:pPr>
              <w:spacing w:before="0" w:after="0"/>
              <w:jc w:val="center"/>
            </w:pPr>
            <w:r/>
            <w:r>
              <w:rPr>
                <w:rFonts w:ascii="Calibri" w:hAnsi="Calibri" w:eastAsia="Heiti TC"/>
                <w:b/>
                <w:color w:val="475569"/>
                <w:sz w:val="18"/>
              </w:rPr>
              <w:t>评分</w:t>
            </w:r>
          </w:p>
        </w:tc>
        <w:tc>
          <w:tcPr>
            <w:tcW w:type="dxa" w:w="1500"/>
            <w:vAlign w:val="center"/>
            <w:shd w:fill="F2F4F7"/>
          </w:tcPr>
          <w:p>
            <w:pPr>
              <w:spacing w:before="0" w:after="0"/>
              <w:jc w:val="center"/>
            </w:pPr>
            <w:r/>
            <w:r>
              <w:rPr>
                <w:rFonts w:ascii="Calibri" w:hAnsi="Calibri" w:eastAsia="Heiti TC"/>
                <w:b/>
                <w:color w:val="475569"/>
                <w:sz w:val="18"/>
              </w:rPr>
              <w:t>风险</w:t>
            </w:r>
          </w:p>
        </w:tc>
      </w:tr>
      <w:tr>
        <w:tc>
          <w:tcPr>
            <w:tcW w:type="dxa" w:w="3720"/>
            <w:vAlign w:val="center"/>
          </w:tcPr>
          <w:p>
            <w:pPr>
              <w:spacing w:before="0" w:after="0"/>
            </w:pPr>
            <w:r/>
            <w:r>
              <w:rPr>
                <w:rFonts w:ascii="Calibri" w:hAnsi="Calibri" w:eastAsia="Heiti TC"/>
                <w:b w:val="0"/>
                <w:color w:val="111827"/>
                <w:sz w:val="17"/>
              </w:rPr>
              <w:t>2026-08-11 A股成长压力测试：收窄半导体超配后的拥挤度治理</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半导体与存储</w:t>
            </w:r>
          </w:p>
        </w:tc>
        <w:tc>
          <w:tcPr>
            <w:tcW w:type="dxa" w:w="900"/>
            <w:vAlign w:val="center"/>
          </w:tcPr>
          <w:p>
            <w:pPr>
              <w:spacing w:before="0" w:after="0"/>
              <w:jc w:val="center"/>
            </w:pPr>
            <w:r/>
            <w:r>
              <w:rPr>
                <w:rFonts w:ascii="Calibri" w:hAnsi="Calibri" w:eastAsia="Heiti TC"/>
                <w:b/>
                <w:color w:val="111827"/>
                <w:sz w:val="17"/>
              </w:rPr>
              <w:t>50.0</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research discussion Session Brief</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42.8</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research discussion Session Brief</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42.2</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研究报告：2026-08-11</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41.1</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2026-08-11 研究记录10：CPI后三情景决策树尚不能实证打分</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40.7</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2026年8月中国政策组合：不要把AI硬件出口价格误读为内需再通胀</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40.5</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研究院诊断报告 — 2026-08-11</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40.4</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2026-08-11 宏观综合：AI 私募信贷压力与美联储 2026 下半年降息反应函数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40.2</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2026-08-11 情绪核验：外汇验证后的A股beta加仓</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40.1</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中国7-8月贸易与信贷数据能否为央行提供独立于美联储路径的国内宽松依据?</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39.9</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海外市场过夜情况速览 — 2026-08-11 晨会</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39.6</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prior research notes— 情景推演：7月CPI结果 → 9月FOMC概率 → PBOC定盘姿态 → USD/CNY 6.85阈...</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39.2</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2026-08-11 首席策略师研究记录：外汇验证后的A股beta实施</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38.8</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美股板块轮动日报（2026-08-11）</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38.7</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2026-08-11 研究记录06：美国CPI偏热会否把CNY跌破6.90演变成红利资产无序重估？</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38.4</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603889.SH是否具备与002003.SZ类似的海外产能结构性汇率缓冲？（工作日期：2026-08-11）</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38.2</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2026-08-11 研究记录07：USD/CNY突破6.90但未站上6.98时的A股红利拥挤压力</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38.0</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2026-08-11 AI硬件突破7单位上限前的订单验证</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37.8</w:t>
            </w:r>
          </w:p>
        </w:tc>
        <w:tc>
          <w:tcPr>
            <w:tcW w:type="dxa" w:w="1500"/>
            <w:vAlign w:val="center"/>
          </w:tcPr>
          <w:p>
            <w:pPr>
              <w:spacing w:before="0" w:after="0"/>
              <w:jc w:val="center"/>
            </w:pPr>
            <w:r/>
            <w:r>
              <w:rPr>
                <w:rFonts w:ascii="Calibri" w:hAnsi="Calibri" w:eastAsia="Heiti TC"/>
                <w:b w:val="0"/>
                <w:color w:val="111827"/>
                <w:sz w:val="16"/>
              </w:rPr>
              <w:t>常规</w:t>
            </w:r>
          </w:p>
        </w:tc>
      </w:tr>
    </w:tbl>
    <w:p>
      <w:pPr>
        <w:spacing w:before="0" w:after="160" w:line="264" w:lineRule="auto"/>
      </w:pPr>
      <w:r>
        <w:rPr>
          <w:rFonts w:ascii="Calibri" w:hAnsi="Calibri" w:eastAsia="Heiti T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T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eiti T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eiti T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eiti T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eiti T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eiti T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eiti T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eiti T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39e221c28442" TargetMode="External"/><Relationship Id="rId13" Type="http://schemas.openxmlformats.org/officeDocument/2006/relationships/hyperlink" Target="reports/archive-d7796555327c" TargetMode="External"/><Relationship Id="rId14" Type="http://schemas.openxmlformats.org/officeDocument/2006/relationships/hyperlink" Target="reports/archive-f3d94c5d1733"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e53450838d1f" TargetMode="External"/><Relationship Id="rId20" Type="http://schemas.openxmlformats.org/officeDocument/2006/relationships/hyperlink" Target="reports/archive-dddb1545d1d4" TargetMode="External"/><Relationship Id="rId21" Type="http://schemas.openxmlformats.org/officeDocument/2006/relationships/hyperlink" Target="reports/archive-4414af5ef435" TargetMode="External"/><Relationship Id="rId22" Type="http://schemas.openxmlformats.org/officeDocument/2006/relationships/hyperlink" Target="reports/archive-d4f6bc285637" TargetMode="External"/><Relationship Id="rId23" Type="http://schemas.openxmlformats.org/officeDocument/2006/relationships/hyperlink" Target="reports/archive-1c4974040fd3" TargetMode="External"/><Relationship Id="rId24" Type="http://schemas.openxmlformats.org/officeDocument/2006/relationships/hyperlink" Target="reports/archive-959d0a1ef2ce" TargetMode="External"/><Relationship Id="rId25" Type="http://schemas.openxmlformats.org/officeDocument/2006/relationships/hyperlink" Target="reports/archive-0ca16e22b7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2026-08-11</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