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Arial Unicode MS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Arial Unicode MS"/>
          <w:b w:val="0"/>
          <w:i w:val="0"/>
        </w:rPr>
        <w:t>2026-07-20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Arial Unicode MS"/>
          <w:b/>
          <w:i w:val="0"/>
          <w:color w:val="0B2545"/>
          <w:sz w:val="34"/>
        </w:rPr>
        <w:t>宏观通胀传导仍是今日主线，AI 基础设施提供第二层验证。</w:t>
      </w:r>
    </w:p>
    <w:p>
      <w:pPr>
        <w:spacing w:before="0" w:after="24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2"/>
        </w:rPr>
        <w:t>2026-07-20 共纳入 69 篇中文研究结果，覆盖 0 位活跃分析师和 5 条主要行业链，较 2026-07-19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Arial Unicode MS"/>
                <w:b/>
                <w:color w:val="285B9D"/>
                <w:sz w:val="36"/>
              </w:rPr>
              <w:t>69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Arial Unicode MS"/>
                <w:b/>
                <w:color w:val="237A5B"/>
                <w:sz w:val="36"/>
              </w:rPr>
              <w:t>0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Arial Unicode MS"/>
                <w:b/>
                <w:color w:val="A8731B"/>
                <w:sz w:val="36"/>
              </w:rPr>
              <w:t>5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Arial Unicode MS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20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Arial Unicode MS" w:ascii="Calibri" w:hAnsi="Calibri"/>
          </w:rPr>
          <w:t>2026-07-20 — 美国更高终端利率与全球电网设备短缺对中国的双向传导：人民币约束、政策空间与A股... 是今日最高权重结论，核心证据来自 未识别，关联 宏观通胀传导。</w:t>
        </w:r>
      </w:hyperlink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变化信号: </w:t>
      </w:r>
      <w:r>
        <w:rPr>
          <w:rFonts w:ascii="Calibri" w:hAnsi="Calibri" w:eastAsia="Arial Unicode MS"/>
          <w:color w:val="111827"/>
          <w:sz w:val="21"/>
        </w:rPr>
        <w:t>通胀 今日 降温，当日计数 58，前一日计数 268。</w:t>
      </w:r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风险焦点: </w:t>
      </w:r>
      <w:hyperlink r:id="rId13">
        <w:r>
          <w:rPr>
            <w:color w:val="285B9D"/>
            <w:u w:val="single"/>
            <w:rFonts w:eastAsia="Arial Unicode MS" w:ascii="Calibri" w:hAnsi="Calibri"/>
          </w:rPr>
          <w:t>风险矩阵最需要跟踪的是 AI 基础设施：AI 电力篮子相关性风险：公用事业分析师研究记录，2026-07-19。</w:t>
        </w:r>
      </w:hyperlink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证据密度: </w:t>
      </w:r>
      <w:hyperlink r:id="rId14">
        <w:r>
          <w:rPr>
            <w:color w:val="285B9D"/>
            <w:u w:val="single"/>
            <w:rFonts w:eastAsia="Arial Unicode MS" w:ascii="Calibri" w:hAnsi="Calibri"/>
          </w:rPr>
          <w:t>宏观通胀传导 今日 60 条、近七日 1635 条，风险信号 1064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Arial Unicode MS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Arial Unicode MS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20-web-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20-web-chai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20-web-ri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20-web-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1. 2026-07-20 — 美国更高终端利率与全球电网设备短缺对中国的双向传导：人民币约束、政策空间与A股...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宏观通胀传导 · score 49.9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2026-07-20 — 美国更高终端利率与全球电网设备短缺对中国的双向传导：人民币约束、政策空间与A股电力设备出口链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Arial Unicode MS" w:ascii="Calibri" w:hAnsi="Calibri"/>
          </w:rPr>
          <w:t>reports/archive-731b324da879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2. prior research notes— AI基础设施电力与信用瓶颈的宏观通胀与资本开支效应：对美国结构性通胀、...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宏观通胀传导 · score 48.6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prior research notes— AI基础设施电力与信用瓶颈的宏观通胀与资本开支效应：对美国结构性通胀、美联储终端利率及全球设备资本开支周期的影响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Arial Unicode MS" w:ascii="Calibri" w:hAnsi="Calibri"/>
          </w:rPr>
          <w:t>reports/archive-047daba6b595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3. 压力测试CPO对冲方案：先进封装瓶颈是否会从逻辑芯片传导至光电集成领域？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半导体与存储 · score 46.7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压力测试CPO对冲方案：先进封装瓶颈是否会从逻辑芯片传导至光电集成领域？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0">
        <w:r>
          <w:rPr>
            <w:color w:val="285B9D"/>
            <w:u w:val="single"/>
            <w:rFonts w:eastAsia="Arial Unicode MS" w:ascii="Calibri" w:hAnsi="Calibri"/>
          </w:rPr>
          <w:t>reports/archive-e3b11ed1d035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4. 2026-07-20 压力测试：数据中心照付不议电力合同的信用工具属性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AI 基础设施 · score 46.2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作者： credit-analyst · 立场： stress-test 主题： 数据中心照付不议电力合同的交易对手信用与抵押结构 工作日期： 2026-07-20 （亚洲/新加坡）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1">
        <w:r>
          <w:rPr>
            <w:color w:val="285B9D"/>
            <w:u w:val="single"/>
            <w:rFonts w:eastAsia="Arial Unicode MS" w:ascii="Calibri" w:hAnsi="Calibri"/>
          </w:rPr>
          <w:t>reports/archive-ae5de291c389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5. 2026-07-20 压力测试：PJM 数据中心容量成本、零售传导与大负荷电价机制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AI 基础设施 · score 44.5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2026-07-20 压力测试：PJM 数据中心容量成本、零售传导与大负荷电价机制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2">
        <w:r>
          <w:rPr>
            <w:color w:val="285B9D"/>
            <w:u w:val="single"/>
            <w:rFonts w:eastAsia="Arial Unicode MS" w:ascii="Calibri" w:hAnsi="Calibri"/>
          </w:rPr>
          <w:t>reports/archive-0371be527599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6. 2026年7月20日 — 压力测试：电力缺口能否支撑超大规模厂商扩容？电网重定价是否真的削弱了公用事...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电力与电网 · score 43.4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2026年7月20日 — 压力测试：电力缺口能否支撑超大规模厂商扩容？电网重定价是否真的削弱了公用事业多空中的"AI资本开支因子"？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3">
        <w:r>
          <w:rPr>
            <w:color w:val="285B9D"/>
            <w:u w:val="single"/>
            <w:rFonts w:eastAsia="Arial Unicode MS" w:ascii="Calibri" w:hAnsi="Calibri"/>
          </w:rPr>
          <w:t>reports/archive-0802fd46e5d1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AI 电力篮子相关性风险：公用事业分析师研究记录，2026-07-19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AI 基础设施，影响 5 / 概率 3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3">
        <w:r>
          <w:rPr>
            <w:color w:val="285B9D"/>
            <w:u w:val="single"/>
            <w:rFonts w:eastAsia="Arial Unicode MS" w:ascii="Calibri" w:hAnsi="Calibri"/>
          </w:rPr>
          <w:t>reports/archive-220e9e773378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2026-07-18 — 研究记录 02：AI 算力基础设施与能源瓶颈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AI 基础设施，影响 5 / 概率 3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4">
        <w:r>
          <w:rPr>
            <w:color w:val="285B9D"/>
            <w:u w:val="single"/>
            <w:rFonts w:eastAsia="Arial Unicode MS" w:ascii="Calibri" w:hAnsi="Calibri"/>
          </w:rPr>
          <w:t>reports/archive-29627640e1a7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挑战："Exit code 0"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AI 基础设施，影响 5 / 概率 4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5">
        <w:r>
          <w:rPr>
            <w:color w:val="285B9D"/>
            <w:u w:val="single"/>
            <w:rFonts w:eastAsia="Arial Unicode MS" w:ascii="Calibri" w:hAnsi="Calibri"/>
          </w:rPr>
          <w:t>reports/archive-349ffb9e27d6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2026-07-20 — 美国更高终端利率与全球电网设备短缺对中国的双向传导：人民币约束、政策空间与A股...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49.9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prior research notes— AI基础设施电力与信用瓶颈的宏观通胀与资本开支效应：对美国结构性通胀、...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48.6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压力测试CPO对冲方案：先进封装瓶颈是否会从逻辑芯片传导至光电集成领域？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半导体与存储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46.7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2026-07-20 压力测试：数据中心照付不议电力合同的信用工具属性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46.2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2026-07-20 压力测试：PJM 数据中心容量成本、零售传导与大负荷电价机制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44.5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2026年7月20日 — 压力测试：电力缺口能否支撑超大规模厂商扩容？电网重定价是否真的削弱了公用事...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43.4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2026-07-20 压力测试：AI 数据中心滑期、美国固定投资与 CPI 能源服务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42.5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半导体行业分析报告：去杠杆周期下国产替代产能验证、叠层良率挤压与组合压力测试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42.4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2026-07-20 策略报告：将数据中心电力合同信用折扣转化为跨资产仓位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42.3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能源压力测试：表后自建、地理外迁与容量市场租金捕获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42.2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压力测试：FERC 的大负荷成本归因规则能否补上州级零售费率缺口？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41.7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并不存在的进口能源传导：中国油品账单在下降、人民币在升值、政策偏向宽松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41.0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多资产配置重构与22%国债（CGB）汇率风险剥离对冲的执行方案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41.0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中国电动化改变的是能源路径，不是9月FOMC问题本身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40.7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既非缓冲亦非套息：人民币是一场正被官方主动刹车的逼空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40.4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组合级收敛：当半导体与CPO坍缩为同一AI硬件因子后，真正低相关资产是什么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半导体与存储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39.9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PJM容量价格剧烈波动下AI相关高级ABS的信用利差扩张与回收率压力测试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39.9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AI电力与算力资产的跨资产敞口重定尺：约束性合同缺口下的头寸规模与对冲结构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39.9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Arial Unicode MS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Arial Unicode MS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Arial Unicode MS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Arial Unicode MS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Arial Unicode MS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Arial Unicode MS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731b324da879" TargetMode="External"/><Relationship Id="rId13" Type="http://schemas.openxmlformats.org/officeDocument/2006/relationships/hyperlink" Target="reports/archive-220e9e773378" TargetMode="External"/><Relationship Id="rId14" Type="http://schemas.openxmlformats.org/officeDocument/2006/relationships/hyperlink" Target="reports/archive-d252194b3c68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reports/archive-047daba6b595" TargetMode="External"/><Relationship Id="rId20" Type="http://schemas.openxmlformats.org/officeDocument/2006/relationships/hyperlink" Target="reports/archive-e3b11ed1d035" TargetMode="External"/><Relationship Id="rId21" Type="http://schemas.openxmlformats.org/officeDocument/2006/relationships/hyperlink" Target="reports/archive-ae5de291c389" TargetMode="External"/><Relationship Id="rId22" Type="http://schemas.openxmlformats.org/officeDocument/2006/relationships/hyperlink" Target="reports/archive-0371be527599" TargetMode="External"/><Relationship Id="rId23" Type="http://schemas.openxmlformats.org/officeDocument/2006/relationships/hyperlink" Target="reports/archive-0802fd46e5d1" TargetMode="External"/><Relationship Id="rId24" Type="http://schemas.openxmlformats.org/officeDocument/2006/relationships/hyperlink" Target="reports/archive-29627640e1a7" TargetMode="External"/><Relationship Id="rId25" Type="http://schemas.openxmlformats.org/officeDocument/2006/relationships/hyperlink" Target="reports/archive-349ffb9e27d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2026-07-20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