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360"/>
        <w:jc w:val="center"/>
      </w:pPr>
      <w:r>
        <w:rPr>
          <w:rFonts w:ascii="Calibri" w:hAnsi="Calibri" w:eastAsia="Hiragino Sans GB"/>
          <w:b/>
          <w:color w:val="D85B16"/>
          <w:sz w:val="18"/>
        </w:rPr>
        <w:t>AI INSTITUTE · WEEKLY RESEARCH</w:t>
      </w:r>
    </w:p>
    <w:p>
      <w:pPr>
        <w:spacing w:after="160"/>
        <w:jc w:val="center"/>
      </w:pPr>
      <w:r>
        <w:rPr>
          <w:rFonts w:ascii="Calibri" w:hAnsi="Calibri" w:eastAsia="Hiragino Sans GB"/>
          <w:b/>
          <w:color w:val="111111"/>
          <w:sz w:val="60"/>
        </w:rPr>
        <w:t>AI Institute 周度研究报告</w:t>
      </w:r>
    </w:p>
    <w:p>
      <w:pPr>
        <w:spacing w:after="480"/>
        <w:jc w:val="center"/>
      </w:pPr>
      <w:r>
        <w:rPr>
          <w:rFonts w:ascii="Calibri" w:hAnsi="Calibri" w:eastAsia="Hiragino Sans GB"/>
          <w:b/>
          <w:color w:val="5E6268"/>
          <w:sz w:val="28"/>
        </w:rPr>
        <w:t>2026-W30 周报｜收紧 AI 集中风险，等待宏观与流动性确认</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340"/>
        <w:gridCol w:w="2340"/>
        <w:gridCol w:w="2340"/>
        <w:gridCol w:w="2340"/>
      </w:tblGrid>
      <w:tr>
        <w:trPr>
          <w:cantSplit/>
        </w:trPr>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WEEK</w:t>
            </w:r>
          </w:p>
          <w:p>
            <w:pPr>
              <w:spacing w:after="0"/>
              <w:jc w:val="center"/>
            </w:pPr>
            <w:r>
              <w:rPr>
                <w:rFonts w:ascii="Calibri" w:hAnsi="Calibri" w:eastAsia="Hiragino Sans GB"/>
                <w:b/>
                <w:color w:val="111111"/>
                <w:sz w:val="19"/>
              </w:rPr>
              <w:t>2026-W30</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WINDOW</w:t>
            </w:r>
          </w:p>
          <w:p>
            <w:pPr>
              <w:spacing w:after="0"/>
              <w:jc w:val="center"/>
            </w:pPr>
            <w:r>
              <w:rPr>
                <w:rFonts w:ascii="Calibri" w:hAnsi="Calibri" w:eastAsia="Hiragino Sans GB"/>
                <w:b/>
                <w:color w:val="111111"/>
                <w:sz w:val="19"/>
              </w:rPr>
              <w:t>2026-07-14 → 2026-07-20</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EDITION</w:t>
            </w:r>
          </w:p>
          <w:p>
            <w:pPr>
              <w:spacing w:after="0"/>
              <w:jc w:val="center"/>
            </w:pPr>
            <w:r>
              <w:rPr>
                <w:rFonts w:ascii="Calibri" w:hAnsi="Calibri" w:eastAsia="Hiragino Sans GB"/>
                <w:b/>
                <w:color w:val="111111"/>
                <w:sz w:val="19"/>
              </w:rPr>
              <w:t>rolling · REV 4</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QUALITY</w:t>
            </w:r>
          </w:p>
          <w:p>
            <w:pPr>
              <w:spacing w:after="0"/>
              <w:jc w:val="center"/>
            </w:pPr>
            <w:r>
              <w:rPr>
                <w:rFonts w:ascii="Calibri" w:hAnsi="Calibri" w:eastAsia="Hiragino Sans GB"/>
                <w:b/>
                <w:color w:val="111111"/>
                <w:sz w:val="19"/>
              </w:rPr>
              <w:t>pass_with_warnings · 83</w:t>
            </w:r>
          </w:p>
        </w:tc>
      </w:tr>
    </w:tbl>
    <w:p>
      <w:pPr>
        <w:spacing w:after="80"/>
      </w:pP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360"/>
      </w:tblGrid>
      <w:tr>
        <w:trPr>
          <w:cantSplit/>
        </w:trPr>
        <w:tc>
          <w:tcPr>
            <w:tcW w:type="dxa" w:w="9360"/>
            <w:tcMar>
              <w:top w:w="80" w:type="dxa"/>
              <w:bottom w:w="80" w:type="dxa"/>
              <w:start w:w="120" w:type="dxa"/>
              <w:end w:w="120" w:type="dxa"/>
            </w:tcMar>
            <w:vAlign w:val="top"/>
            <w:shd w:fill="F8F9FA"/>
          </w:tcPr>
          <w:p>
            <w:pPr>
              <w:spacing w:before="80" w:after="80"/>
            </w:pPr>
            <w:r>
              <w:rPr>
                <w:rFonts w:ascii="Calibri" w:hAnsi="Calibri" w:eastAsia="Hiragino Sans GB"/>
                <w:b/>
                <w:color w:val="D85B16"/>
                <w:sz w:val="17"/>
              </w:rPr>
              <w:t>一句话结论</w:t>
              <w:br/>
            </w:r>
            <w:r>
              <w:rPr>
                <w:rFonts w:ascii="Calibri" w:hAnsi="Calibri" w:eastAsia="Hiragino Sans GB"/>
                <w:b/>
                <w:color w:val="111111"/>
                <w:sz w:val="24"/>
              </w:rPr>
              <w:t>本周不是全面撤出 AI，而是将风险预算从单一算力叙事转向可兑现订单、产品结构、电力通道和信用质量；组合维持一项 TRIM、四项 HOLD，并下调 A 股硬科技风险敞口。</w:t>
            </w:r>
          </w:p>
        </w:tc>
      </w:tr>
    </w:tbl>
    <w:p>
      <w:pPr>
        <w:spacing w:before="320" w:after="0"/>
        <w:jc w:val="center"/>
      </w:pPr>
      <w:hyperlink r:id="rId11">
        <w:r>
          <w:rPr>
            <w:color w:val="1D5FD1"/>
            <w:u w:val="single"/>
            <w:sz w:val="18"/>
            <w:szCs w:val="18"/>
            <w:rFonts w:ascii="Calibri" w:hAnsi="Calibri" w:eastAsia="Hiragino Sans GB"/>
          </w:rPr>
          <w:t>打开受保护的在线周报</w:t>
        </w:r>
      </w:hyperlink>
    </w:p>
    <w:p>
      <w:r>
        <w:br w:type="page"/>
      </w:r>
    </w:p>
    <w:p>
      <w:pPr>
        <w:pStyle w:val="SectionLabel"/>
      </w:pPr>
      <w:r>
        <w:rPr>
          <w:rFonts w:ascii="Calibri" w:hAnsi="Calibri" w:eastAsia="Hiragino Sans GB"/>
          <w:b/>
          <w:color w:val="1D5FD1"/>
          <w:sz w:val="17"/>
        </w:rPr>
        <w:t>DECISION FIRST</w:t>
      </w:r>
    </w:p>
    <w:p>
      <w:pPr>
        <w:pStyle w:val="Heading1"/>
      </w:pPr>
      <w:r>
        <w:t>1. 执行摘要</w:t>
      </w:r>
    </w:p>
    <w:p>
      <w:pPr>
        <w:keepLines w:val="0"/>
      </w:pPr>
      <w:r>
        <w:rPr>
          <w:rFonts w:ascii="Calibri" w:hAnsi="Calibri" w:eastAsia="Hiragino Sans GB"/>
          <w:b w:val="0"/>
          <w:color w:val="111111"/>
          <w:sz w:val="22"/>
        </w:rPr>
        <w:t>决策先行：AI 算力半导体维持 TRIM；A股红利/硬科技杠铃、AI 再通胀/利率敏感资产、Mag7 AI 平台再分层和美债利率/美元再定价均维持 HOLD。相较 W29 的 standing thesis，本周最明确的收缩是 A 股硬科技/科创50由 NEUTRAL 降为 UNDERWEIGHT；AI 主线内部则从“加速器需求强”进一步拆分为存储与定制芯片、云平台、电力设备和项目信用，不能再用一个 AI Beta 覆盖全部风险。主导观点也受到实质挑战：电力与并网瓶颈未必立即推升通胀，若主要表现为项目滑期，近期结果可能是固定投资和能源服务需求降温。由于没有市场报价数据，本报告不判断最新价格、涨跌幅或资金流，仅把价格与资金变量列为待验证触发器。</w:t>
      </w:r>
    </w:p>
    <w:p>
      <w:pPr>
        <w:keepLines/>
      </w:pPr>
      <w:r>
        <w:rPr>
          <w:rFonts w:ascii="Calibri" w:hAnsi="Calibri" w:eastAsia="Hiragino Sans GB"/>
          <w:b w:val="0"/>
          <w:color w:val="5E6268"/>
          <w:sz w:val="22"/>
        </w:rPr>
        <w:t>W30 的核心不是否定 AI、红利或久期，而是提高进入组合的证据门槛：AI 要看兑现而非计划，电力要看通道与信用，A 股要看三类资金信号共振，利率要看通胀、油价与实际利率联动。在缺少市场报价的情况下，所有价格和资金条件均只是下一阶段触发器，而非本周既成事实。本报告仅为研究综合，不构成投资建议，不承诺任何收益。</w:t>
      </w:r>
    </w:p>
    <w:p>
      <w:pPr>
        <w:pStyle w:val="Heading1"/>
      </w:pPr>
      <w:r>
        <w:t>2. 本周操作结论</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850"/>
        <w:gridCol w:w="2050"/>
        <w:gridCol w:w="4200"/>
        <w:gridCol w:w="2260"/>
      </w:tblGrid>
      <w:tr>
        <w:trPr>
          <w:cantSplit/>
          <w:tblHeader w:val="true"/>
        </w:trPr>
        <w:tc>
          <w:tcPr>
            <w:tcW w:type="dxa" w:w="8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ACTION</w:t>
            </w:r>
          </w:p>
        </w:tc>
        <w:tc>
          <w:tcPr>
            <w:tcW w:type="dxa" w:w="20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TARGET</w:t>
            </w:r>
          </w:p>
        </w:tc>
        <w:tc>
          <w:tcPr>
            <w:tcW w:type="dxa" w:w="42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DRIVER / CONFIRMATION</w:t>
            </w:r>
          </w:p>
        </w:tc>
        <w:tc>
          <w:tcPr>
            <w:tcW w:type="dxa" w:w="22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INVALIDATION</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C92A2A"/>
                <w:sz w:val="17"/>
              </w:rPr>
              <w:t>TRIM</w:t>
            </w:r>
          </w:p>
        </w:tc>
        <w:tc>
          <w:tcPr>
            <w:tcW w:type="dxa" w:w="2050"/>
            <w:tcMar>
              <w:top w:w="80" w:type="dxa"/>
              <w:bottom w:w="80" w:type="dxa"/>
              <w:start w:w="120" w:type="dxa"/>
              <w:end w:w="120" w:type="dxa"/>
            </w:tcMar>
            <w:vAlign w:val="top"/>
          </w:tcPr>
          <w:p>
            <w:pPr>
              <w:spacing w:after="40"/>
            </w:pPr>
            <w:hyperlink r:id="rId12">
              <w:r>
                <w:rPr>
                  <w:color w:val="1D5FD1"/>
                  <w:u w:val="single"/>
                  <w:b/>
                  <w:sz w:val="17"/>
                  <w:szCs w:val="17"/>
                  <w:rFonts w:ascii="Calibri" w:hAnsi="Calibri" w:eastAsia="Hiragino Sans GB"/>
                </w:rPr>
                <w:t>AI 算力半导体</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AI算力需求仍强，但收益正在从单一加速器向存储、定制芯片和云平台扩散；配置应侧重订单、产品结构和自由现金流，控制估值集中风险。 风险雷达：降权跟踪：适合作为风险雷达，不适合作为无条件加仓理由。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3">
              <w:r>
                <w:rPr>
                  <w:color w:val="1D5FD1"/>
                  <w:u w:val="single"/>
                  <w:b/>
                  <w:sz w:val="17"/>
                  <w:szCs w:val="17"/>
                  <w:rFonts w:ascii="Calibri" w:hAnsi="Calibri" w:eastAsia="Hiragino Sans GB"/>
                </w:rPr>
                <w:t>A股红利/硬科技杠铃</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4">
              <w:r>
                <w:rPr>
                  <w:color w:val="1D5FD1"/>
                  <w:u w:val="single"/>
                  <w:b/>
                  <w:sz w:val="17"/>
                  <w:szCs w:val="17"/>
                  <w:rFonts w:ascii="Calibri" w:hAnsi="Calibri" w:eastAsia="Hiragino Sans GB"/>
                </w:rPr>
                <w:t>AI 再通胀/利率敏感资产</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5">
              <w:r>
                <w:rPr>
                  <w:color w:val="1D5FD1"/>
                  <w:u w:val="single"/>
                  <w:b/>
                  <w:sz w:val="17"/>
                  <w:szCs w:val="17"/>
                  <w:rFonts w:ascii="Calibri" w:hAnsi="Calibri" w:eastAsia="Hiragino Sans GB"/>
                </w:rPr>
                <w:t>Mag7 AI 平台再分层</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6">
              <w:r>
                <w:rPr>
                  <w:color w:val="1D5FD1"/>
                  <w:u w:val="single"/>
                  <w:b/>
                  <w:sz w:val="17"/>
                  <w:szCs w:val="17"/>
                  <w:rFonts w:ascii="Calibri" w:hAnsi="Calibri" w:eastAsia="Hiragino Sans GB"/>
                </w:rPr>
                <w:t>美债利率/美元再定价</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利率路径仍有双向风险，优先采用中久期国债和黄金分散，保留美元对冲，避免单押快速降息。 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bl>
    <w:p>
      <w:pPr>
        <w:pStyle w:val="TableCitation"/>
      </w:pPr>
      <w:r>
        <w:t>基于公开研究合约的研究台操作视图，不构成投资建议；完整客观命中率与真实组合交易需要独立 Panorama App/组合账本读取。</w:t>
      </w:r>
    </w:p>
    <w:p>
      <w:pPr>
        <w:pStyle w:val="Heading1"/>
      </w:pPr>
      <w:r>
        <w:t>3. 决策解释：从证据到组合</w:t>
      </w:r>
    </w:p>
    <w:p>
      <w:pPr>
        <w:pStyle w:val="Heading2"/>
        <w:keepNext/>
      </w:pPr>
      <w:r>
        <w:t>01 · TRIM｜AI 算力半导体</w:t>
      </w:r>
    </w:p>
    <w:p>
      <w:pPr>
        <w:keepLines/>
      </w:pPr>
      <w:r>
        <w:rPr>
          <w:rFonts w:ascii="Calibri" w:hAnsi="Calibri" w:eastAsia="Hiragino Sans GB"/>
          <w:b w:val="0"/>
          <w:color w:val="111111"/>
          <w:sz w:val="22"/>
        </w:rPr>
        <w:t>既定 driver（原文，不改写）：AI算力需求仍强，但收益正在从单一加速器向存储、定制芯片和云平台扩散；配置应侧重订单、产品结构和自由现金流，控制估值集中风险。 风险雷达：降权跟踪：适合作为风险雷达，不适合作为无条件加仓理由。</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执行层面保持 TRIM。新证据显示，先进封装与 CPO 可能共享产能瓶颈，电力和项目滑期也会影响算力需求兑现；因此降权对象是高集中度、仅依赖单一需求叙事的暴露，而非否定全部 AI 需求。</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7">
        <w:r>
          <w:rPr>
            <w:color w:val="1D5FD1"/>
            <w:u w:val="single"/>
            <w:sz w:val="17"/>
            <w:szCs w:val="17"/>
            <w:rFonts w:ascii="Calibri" w:hAnsi="Calibri" w:eastAsia="Hiragino Sans GB"/>
          </w:rPr>
          <w:t>R1</w:t>
        </w:r>
      </w:hyperlink>
      <w:r>
        <w:t xml:space="preserve"> · </w:t>
      </w:r>
      <w:hyperlink r:id="rId18">
        <w:r>
          <w:rPr>
            <w:color w:val="1D5FD1"/>
            <w:u w:val="single"/>
            <w:sz w:val="17"/>
            <w:szCs w:val="17"/>
            <w:rFonts w:ascii="Calibri" w:hAnsi="Calibri" w:eastAsia="Hiragino Sans GB"/>
          </w:rPr>
          <w:t>R2</w:t>
        </w:r>
      </w:hyperlink>
      <w:r>
        <w:t xml:space="preserve"> · </w:t>
      </w:r>
      <w:hyperlink r:id="rId19">
        <w:r>
          <w:rPr>
            <w:color w:val="1D5FD1"/>
            <w:u w:val="single"/>
            <w:sz w:val="17"/>
            <w:szCs w:val="17"/>
            <w:rFonts w:ascii="Calibri" w:hAnsi="Calibri" w:eastAsia="Hiragino Sans GB"/>
          </w:rPr>
          <w:t>R3</w:t>
        </w:r>
      </w:hyperlink>
      <w:r>
        <w:t xml:space="preserve"> · </w:t>
      </w:r>
      <w:hyperlink r:id="rId20">
        <w:r>
          <w:rPr>
            <w:color w:val="1D5FD1"/>
            <w:u w:val="single"/>
            <w:sz w:val="17"/>
            <w:szCs w:val="17"/>
            <w:rFonts w:ascii="Calibri" w:hAnsi="Calibri" w:eastAsia="Hiragino Sans GB"/>
          </w:rPr>
          <w:t>对应 Thesis</w:t>
        </w:r>
      </w:hyperlink>
    </w:p>
    <w:p>
      <w:pPr>
        <w:pStyle w:val="Heading2"/>
        <w:keepNext/>
      </w:pPr>
      <w:r>
        <w:t>02 · HOLD｜A股红利/硬科技杠铃</w:t>
      </w:r>
    </w:p>
    <w:p>
      <w:pPr>
        <w:keepLines/>
      </w:pPr>
      <w:r>
        <w:rPr>
          <w:rFonts w:ascii="Calibri" w:hAnsi="Calibri" w:eastAsia="Hiragino Sans GB"/>
          <w:b w:val="0"/>
          <w:color w:val="111111"/>
          <w:sz w:val="22"/>
        </w:rPr>
        <w:t>既定 driver（原文，不改写）：观察等待：先放入观察池，只在证据密度和价格确认同时改善时进入组合。</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执行层面保持 HOLD。红利腿仍可通过银行质量筛选、公用事业和现金改善防御性，但硬科技腿已由 NEUTRAL 降至 UNDERWEIGHT；ETF 被动化、两融结构和银行资本约束意味着杠铃两端都要做内部筛选，不能按指数机械配置。</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1">
        <w:r>
          <w:rPr>
            <w:color w:val="1D5FD1"/>
            <w:u w:val="single"/>
            <w:sz w:val="17"/>
            <w:szCs w:val="17"/>
            <w:rFonts w:ascii="Calibri" w:hAnsi="Calibri" w:eastAsia="Hiragino Sans GB"/>
          </w:rPr>
          <w:t>R1</w:t>
        </w:r>
      </w:hyperlink>
      <w:r>
        <w:t xml:space="preserve"> · </w:t>
      </w:r>
      <w:hyperlink r:id="rId22">
        <w:r>
          <w:rPr>
            <w:color w:val="1D5FD1"/>
            <w:u w:val="single"/>
            <w:sz w:val="17"/>
            <w:szCs w:val="17"/>
            <w:rFonts w:ascii="Calibri" w:hAnsi="Calibri" w:eastAsia="Hiragino Sans GB"/>
          </w:rPr>
          <w:t>R2</w:t>
        </w:r>
      </w:hyperlink>
      <w:r>
        <w:t xml:space="preserve"> · </w:t>
      </w:r>
      <w:hyperlink r:id="rId23">
        <w:r>
          <w:rPr>
            <w:color w:val="1D5FD1"/>
            <w:u w:val="single"/>
            <w:sz w:val="17"/>
            <w:szCs w:val="17"/>
            <w:rFonts w:ascii="Calibri" w:hAnsi="Calibri" w:eastAsia="Hiragino Sans GB"/>
          </w:rPr>
          <w:t>R3</w:t>
        </w:r>
      </w:hyperlink>
      <w:r>
        <w:t xml:space="preserve"> · </w:t>
      </w:r>
      <w:hyperlink r:id="rId24">
        <w:r>
          <w:rPr>
            <w:color w:val="1D5FD1"/>
            <w:u w:val="single"/>
            <w:sz w:val="17"/>
            <w:szCs w:val="17"/>
            <w:rFonts w:ascii="Calibri" w:hAnsi="Calibri" w:eastAsia="Hiragino Sans GB"/>
          </w:rPr>
          <w:t>对应 Thesis</w:t>
        </w:r>
      </w:hyperlink>
    </w:p>
    <w:p>
      <w:pPr>
        <w:pStyle w:val="Heading2"/>
        <w:keepNext/>
      </w:pPr>
      <w:r>
        <w:t>03 · HOLD｜AI 再通胀/利率敏感资产</w:t>
      </w:r>
    </w:p>
    <w:p>
      <w:pPr>
        <w:keepLines/>
      </w:pPr>
      <w:r>
        <w:rPr>
          <w:rFonts w:ascii="Calibri" w:hAnsi="Calibri" w:eastAsia="Hiragino Sans GB"/>
          <w:b w:val="0"/>
          <w:color w:val="111111"/>
          <w:sz w:val="22"/>
        </w:rPr>
        <w:t>既定 driver（原文，不改写）：观察等待：先放入观察池，只在证据密度和价格确认同时改善时进入组合。</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执行层面保持 HOLD。电力、设备和信用约束提供再通胀链条，但项目滑期也可能先压低固定投资与能源服务需求；在 CPI/PCE、油价和实际利率形成同向确认前，不把研究密度视为宏观兑现。</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5">
        <w:r>
          <w:rPr>
            <w:color w:val="1D5FD1"/>
            <w:u w:val="single"/>
            <w:sz w:val="17"/>
            <w:szCs w:val="17"/>
            <w:rFonts w:ascii="Calibri" w:hAnsi="Calibri" w:eastAsia="Hiragino Sans GB"/>
          </w:rPr>
          <w:t>R1</w:t>
        </w:r>
      </w:hyperlink>
      <w:r>
        <w:t xml:space="preserve"> · </w:t>
      </w:r>
      <w:hyperlink r:id="rId18">
        <w:r>
          <w:rPr>
            <w:color w:val="1D5FD1"/>
            <w:u w:val="single"/>
            <w:sz w:val="17"/>
            <w:szCs w:val="17"/>
            <w:rFonts w:ascii="Calibri" w:hAnsi="Calibri" w:eastAsia="Hiragino Sans GB"/>
          </w:rPr>
          <w:t>R2</w:t>
        </w:r>
      </w:hyperlink>
      <w:r>
        <w:t xml:space="preserve"> · </w:t>
      </w:r>
      <w:hyperlink r:id="rId26">
        <w:r>
          <w:rPr>
            <w:color w:val="1D5FD1"/>
            <w:u w:val="single"/>
            <w:sz w:val="17"/>
            <w:szCs w:val="17"/>
            <w:rFonts w:ascii="Calibri" w:hAnsi="Calibri" w:eastAsia="Hiragino Sans GB"/>
          </w:rPr>
          <w:t>R3</w:t>
        </w:r>
      </w:hyperlink>
      <w:r>
        <w:t xml:space="preserve"> · </w:t>
      </w:r>
      <w:hyperlink r:id="rId27">
        <w:r>
          <w:rPr>
            <w:color w:val="1D5FD1"/>
            <w:u w:val="single"/>
            <w:sz w:val="17"/>
            <w:szCs w:val="17"/>
            <w:rFonts w:ascii="Calibri" w:hAnsi="Calibri" w:eastAsia="Hiragino Sans GB"/>
          </w:rPr>
          <w:t>对应 Thesis</w:t>
        </w:r>
      </w:hyperlink>
    </w:p>
    <w:p>
      <w:pPr>
        <w:pStyle w:val="Heading2"/>
        <w:keepNext/>
      </w:pPr>
      <w:r>
        <w:t>04 · HOLD｜Mag7 AI 平台再分层</w:t>
      </w:r>
    </w:p>
    <w:p>
      <w:pPr>
        <w:keepLines/>
      </w:pPr>
      <w:r>
        <w:rPr>
          <w:rFonts w:ascii="Calibri" w:hAnsi="Calibri" w:eastAsia="Hiragino Sans GB"/>
          <w:b w:val="0"/>
          <w:color w:val="111111"/>
          <w:sz w:val="22"/>
        </w:rPr>
        <w:t>既定 driver（原文，不改写）：观察等待：先放入观察池，只在证据密度和价格确认同时改善时进入组合。</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执行层面保持 HOLD。基础设施能力仍可能扩大平台间分化，但算力租金通缩、项目消化和资本开支质量决定投入能否转化为现金回报；应等待云厂商指引与实际投运、订单或利用率相互印证。</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8">
        <w:r>
          <w:rPr>
            <w:color w:val="1D5FD1"/>
            <w:u w:val="single"/>
            <w:sz w:val="17"/>
            <w:szCs w:val="17"/>
            <w:rFonts w:ascii="Calibri" w:hAnsi="Calibri" w:eastAsia="Hiragino Sans GB"/>
          </w:rPr>
          <w:t>R1</w:t>
        </w:r>
      </w:hyperlink>
      <w:r>
        <w:t xml:space="preserve"> · </w:t>
      </w:r>
      <w:hyperlink r:id="rId18">
        <w:r>
          <w:rPr>
            <w:color w:val="1D5FD1"/>
            <w:u w:val="single"/>
            <w:sz w:val="17"/>
            <w:szCs w:val="17"/>
            <w:rFonts w:ascii="Calibri" w:hAnsi="Calibri" w:eastAsia="Hiragino Sans GB"/>
          </w:rPr>
          <w:t>R2</w:t>
        </w:r>
      </w:hyperlink>
      <w:r>
        <w:t xml:space="preserve"> · </w:t>
      </w:r>
      <w:hyperlink r:id="rId29">
        <w:r>
          <w:rPr>
            <w:color w:val="1D5FD1"/>
            <w:u w:val="single"/>
            <w:sz w:val="17"/>
            <w:szCs w:val="17"/>
            <w:rFonts w:ascii="Calibri" w:hAnsi="Calibri" w:eastAsia="Hiragino Sans GB"/>
          </w:rPr>
          <w:t>R3</w:t>
        </w:r>
      </w:hyperlink>
      <w:r>
        <w:t xml:space="preserve"> · </w:t>
      </w:r>
      <w:hyperlink r:id="rId30">
        <w:r>
          <w:rPr>
            <w:color w:val="1D5FD1"/>
            <w:u w:val="single"/>
            <w:sz w:val="17"/>
            <w:szCs w:val="17"/>
            <w:rFonts w:ascii="Calibri" w:hAnsi="Calibri" w:eastAsia="Hiragino Sans GB"/>
          </w:rPr>
          <w:t>对应 Thesis</w:t>
        </w:r>
      </w:hyperlink>
    </w:p>
    <w:p>
      <w:pPr>
        <w:pStyle w:val="Heading2"/>
        <w:keepNext/>
      </w:pPr>
      <w:r>
        <w:t>05 · HOLD｜美债利率/美元再定价</w:t>
      </w:r>
    </w:p>
    <w:p>
      <w:pPr>
        <w:keepLines/>
      </w:pPr>
      <w:r>
        <w:rPr>
          <w:rFonts w:ascii="Calibri" w:hAnsi="Calibri" w:eastAsia="Hiragino Sans GB"/>
          <w:b w:val="0"/>
          <w:color w:val="111111"/>
          <w:sz w:val="22"/>
        </w:rPr>
        <w:t>既定 driver（原文，不改写）：利率路径仍有双向风险，优先采用中久期国债和黄金分散，保留美元对冲，避免单押快速降息。 观察等待：先放入观察池，只在证据密度和价格确认同时改善时进入组合。</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执行层面保持 HOLD，并保留中久期国债、黄金和美元对冲的分散框架。新证据说明美联储仍是总阀门，但油价、PCE-CPI 楔子、日元套息与美元路径可能改变传导顺序，不能把单次政策预期直接等同于久期方向。</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31">
        <w:r>
          <w:rPr>
            <w:color w:val="1D5FD1"/>
            <w:u w:val="single"/>
            <w:sz w:val="17"/>
            <w:szCs w:val="17"/>
            <w:rFonts w:ascii="Calibri" w:hAnsi="Calibri" w:eastAsia="Hiragino Sans GB"/>
          </w:rPr>
          <w:t>R1</w:t>
        </w:r>
      </w:hyperlink>
      <w:r>
        <w:t xml:space="preserve"> · </w:t>
      </w:r>
      <w:hyperlink r:id="rId32">
        <w:r>
          <w:rPr>
            <w:color w:val="1D5FD1"/>
            <w:u w:val="single"/>
            <w:sz w:val="17"/>
            <w:szCs w:val="17"/>
            <w:rFonts w:ascii="Calibri" w:hAnsi="Calibri" w:eastAsia="Hiragino Sans GB"/>
          </w:rPr>
          <w:t>R2</w:t>
        </w:r>
      </w:hyperlink>
      <w:r>
        <w:t xml:space="preserve"> · </w:t>
      </w:r>
      <w:hyperlink r:id="rId33">
        <w:r>
          <w:rPr>
            <w:color w:val="1D5FD1"/>
            <w:u w:val="single"/>
            <w:sz w:val="17"/>
            <w:szCs w:val="17"/>
            <w:rFonts w:ascii="Calibri" w:hAnsi="Calibri" w:eastAsia="Hiragino Sans GB"/>
          </w:rPr>
          <w:t>R3</w:t>
        </w:r>
      </w:hyperlink>
      <w:r>
        <w:t xml:space="preserve"> · </w:t>
      </w:r>
      <w:hyperlink r:id="rId34">
        <w:r>
          <w:rPr>
            <w:color w:val="1D5FD1"/>
            <w:u w:val="single"/>
            <w:sz w:val="17"/>
            <w:szCs w:val="17"/>
            <w:rFonts w:ascii="Calibri" w:hAnsi="Calibri" w:eastAsia="Hiragino Sans GB"/>
          </w:rPr>
          <w:t>对应 Thesis</w:t>
        </w:r>
      </w:hyperlink>
    </w:p>
    <w:p>
      <w:pPr>
        <w:pStyle w:val="Heading1"/>
      </w:pPr>
      <w:r>
        <w:t>4. 本周真正改变了什么</w:t>
      </w:r>
    </w:p>
    <w:p>
      <w:pPr>
        <w:keepNext/>
      </w:pPr>
      <w:r>
        <w:rPr>
          <w:rFonts w:ascii="Calibri" w:hAnsi="Calibri" w:eastAsia="Hiragino Sans GB"/>
          <w:b/>
          <w:color w:val="D85B16"/>
          <w:sz w:val="18"/>
        </w:rPr>
        <w:t xml:space="preserve">01  WEAKENED  </w:t>
      </w:r>
      <w:r>
        <w:rPr>
          <w:rFonts w:ascii="Calibri" w:hAnsi="Calibri" w:eastAsia="Hiragino Sans GB"/>
          <w:b/>
          <w:color w:val="111111"/>
          <w:sz w:val="22"/>
        </w:rPr>
        <w:t>A股杠铃失去对称性：硬科技腿明确降级</w:t>
      </w:r>
    </w:p>
    <w:p>
      <w:pPr>
        <w:keepLines w:val="0"/>
      </w:pPr>
      <w:r>
        <w:rPr>
          <w:rFonts w:ascii="Calibri" w:hAnsi="Calibri" w:eastAsia="Hiragino Sans GB"/>
          <w:b w:val="0"/>
          <w:color w:val="111111"/>
          <w:sz w:val="22"/>
        </w:rPr>
        <w:t>相较 W29 standing thesis 对红利与硬科技组合表达的整体 HOLD，本周新增证据把 A 股硬科技/科创50从 NEUTRAL 下调至 UNDERWEIGHT。北向资金可能缓冲局部去杠杆，但 ETF 被动化、融资结构和流动性折价仍使科技腿更脆弱；这直接挑战“两腿天然互补”的主导看法。</w:t>
      </w:r>
    </w:p>
    <w:p>
      <w:pPr>
        <w:pStyle w:val="TableCitation"/>
      </w:pPr>
      <w:r>
        <w:t>关联标的：</w:t>
      </w:r>
      <w:hyperlink r:id="rId35">
        <w:r>
          <w:rPr>
            <w:color w:val="1D5FD1"/>
            <w:u w:val="single"/>
            <w:sz w:val="17"/>
            <w:szCs w:val="17"/>
            <w:rFonts w:ascii="Calibri" w:hAnsi="Calibri" w:eastAsia="Hiragino Sans GB"/>
          </w:rPr>
          <w:t>510880.SH</w:t>
        </w:r>
      </w:hyperlink>
      <w:r>
        <w:t xml:space="preserve"> · </w:t>
      </w:r>
      <w:hyperlink r:id="rId36">
        <w:r>
          <w:rPr>
            <w:color w:val="1D5FD1"/>
            <w:u w:val="single"/>
            <w:sz w:val="17"/>
            <w:szCs w:val="17"/>
            <w:rFonts w:ascii="Calibri" w:hAnsi="Calibri" w:eastAsia="Hiragino Sans GB"/>
          </w:rPr>
          <w:t>600900.SH</w:t>
        </w:r>
      </w:hyperlink>
      <w:r>
        <w:t xml:space="preserve"> · </w:t>
      </w:r>
      <w:hyperlink r:id="rId37">
        <w:r>
          <w:rPr>
            <w:color w:val="1D5FD1"/>
            <w:u w:val="single"/>
            <w:sz w:val="17"/>
            <w:szCs w:val="17"/>
            <w:rFonts w:ascii="Calibri" w:hAnsi="Calibri" w:eastAsia="Hiragino Sans GB"/>
          </w:rPr>
          <w:t>601398.SH</w:t>
        </w:r>
      </w:hyperlink>
      <w:r>
        <w:t xml:space="preserve"> · </w:t>
      </w:r>
      <w:hyperlink r:id="rId38">
        <w:r>
          <w:rPr>
            <w:color w:val="1D5FD1"/>
            <w:u w:val="single"/>
            <w:sz w:val="17"/>
            <w:szCs w:val="17"/>
            <w:rFonts w:ascii="Calibri" w:hAnsi="Calibri" w:eastAsia="Hiragino Sans GB"/>
          </w:rPr>
          <w:t>588000.SH</w:t>
        </w:r>
      </w:hyperlink>
      <w:r>
        <w:t xml:space="preserve"> · </w:t>
      </w:r>
      <w:hyperlink r:id="rId39">
        <w:r>
          <w:rPr>
            <w:color w:val="1D5FD1"/>
            <w:u w:val="single"/>
            <w:sz w:val="17"/>
            <w:szCs w:val="17"/>
            <w:rFonts w:ascii="Calibri" w:hAnsi="Calibri" w:eastAsia="Hiragino Sans GB"/>
          </w:rPr>
          <w:t>688981.SH</w:t>
        </w:r>
      </w:hyperlink>
    </w:p>
    <w:p>
      <w:pPr>
        <w:keepNext/>
      </w:pPr>
      <w:r>
        <w:rPr>
          <w:rFonts w:ascii="Calibri" w:hAnsi="Calibri" w:eastAsia="Hiragino Sans GB"/>
          <w:b/>
          <w:color w:val="D85B16"/>
          <w:sz w:val="18"/>
        </w:rPr>
        <w:t xml:space="preserve">02  SPLIT  </w:t>
      </w:r>
      <w:r>
        <w:rPr>
          <w:rFonts w:ascii="Calibri" w:hAnsi="Calibri" w:eastAsia="Hiragino Sans GB"/>
          <w:b/>
          <w:color w:val="111111"/>
          <w:sz w:val="22"/>
        </w:rPr>
        <w:t>AI 再通胀由单向判断变为时序分歧</w:t>
      </w:r>
    </w:p>
    <w:p>
      <w:pPr>
        <w:keepLines w:val="0"/>
      </w:pPr>
      <w:r>
        <w:rPr>
          <w:rFonts w:ascii="Calibri" w:hAnsi="Calibri" w:eastAsia="Hiragino Sans GB"/>
          <w:b w:val="0"/>
          <w:color w:val="111111"/>
          <w:sz w:val="22"/>
        </w:rPr>
        <w:t>standing thesis 强调 AI 资本开支经能源、设备和利率进入通胀定价；本周证据新增关键反证：电力、并网和信用瓶颈若首先造成项目滑期，短期可能压低固定投资及能源服务需求，之后才可能形成供给约束型通胀。主线没有被推翻，但需要先判断“递延”还是“提价”。</w:t>
      </w:r>
    </w:p>
    <w:p>
      <w:pPr>
        <w:pStyle w:val="TableCitation"/>
      </w:pPr>
      <w:r>
        <w:t>关联标的：</w:t>
      </w:r>
      <w:hyperlink r:id="rId40">
        <w:r>
          <w:rPr>
            <w:color w:val="1D5FD1"/>
            <w:u w:val="single"/>
            <w:sz w:val="17"/>
            <w:szCs w:val="17"/>
            <w:rFonts w:ascii="Calibri" w:hAnsi="Calibri" w:eastAsia="Hiragino Sans GB"/>
          </w:rPr>
          <w:t>XLU</w:t>
        </w:r>
      </w:hyperlink>
      <w:r>
        <w:t xml:space="preserve"> · </w:t>
      </w:r>
      <w:hyperlink r:id="rId41">
        <w:r>
          <w:rPr>
            <w:color w:val="1D5FD1"/>
            <w:u w:val="single"/>
            <w:sz w:val="17"/>
            <w:szCs w:val="17"/>
            <w:rFonts w:ascii="Calibri" w:hAnsi="Calibri" w:eastAsia="Hiragino Sans GB"/>
          </w:rPr>
          <w:t>GEV</w:t>
        </w:r>
      </w:hyperlink>
      <w:r>
        <w:t xml:space="preserve"> · </w:t>
      </w:r>
      <w:hyperlink r:id="rId42">
        <w:r>
          <w:rPr>
            <w:color w:val="1D5FD1"/>
            <w:u w:val="single"/>
            <w:sz w:val="17"/>
            <w:szCs w:val="17"/>
            <w:rFonts w:ascii="Calibri" w:hAnsi="Calibri" w:eastAsia="Hiragino Sans GB"/>
          </w:rPr>
          <w:t>ETN</w:t>
        </w:r>
      </w:hyperlink>
      <w:r>
        <w:t xml:space="preserve"> · </w:t>
      </w:r>
      <w:hyperlink r:id="rId43">
        <w:r>
          <w:rPr>
            <w:color w:val="1D5FD1"/>
            <w:u w:val="single"/>
            <w:sz w:val="17"/>
            <w:szCs w:val="17"/>
            <w:rFonts w:ascii="Calibri" w:hAnsi="Calibri" w:eastAsia="Hiragino Sans GB"/>
          </w:rPr>
          <w:t>CEG</w:t>
        </w:r>
      </w:hyperlink>
      <w:r>
        <w:t xml:space="preserve"> · </w:t>
      </w:r>
      <w:hyperlink r:id="rId44">
        <w:r>
          <w:rPr>
            <w:color w:val="1D5FD1"/>
            <w:u w:val="single"/>
            <w:sz w:val="17"/>
            <w:szCs w:val="17"/>
            <w:rFonts w:ascii="Calibri" w:hAnsi="Calibri" w:eastAsia="Hiragino Sans GB"/>
          </w:rPr>
          <w:t>VST</w:t>
        </w:r>
      </w:hyperlink>
    </w:p>
    <w:p>
      <w:pPr>
        <w:keepNext/>
      </w:pPr>
      <w:r>
        <w:rPr>
          <w:rFonts w:ascii="Calibri" w:hAnsi="Calibri" w:eastAsia="Hiragino Sans GB"/>
          <w:b/>
          <w:color w:val="D85B16"/>
          <w:sz w:val="18"/>
        </w:rPr>
        <w:t xml:space="preserve">03  SPLIT  </w:t>
      </w:r>
      <w:r>
        <w:rPr>
          <w:rFonts w:ascii="Calibri" w:hAnsi="Calibri" w:eastAsia="Hiragino Sans GB"/>
          <w:b/>
          <w:color w:val="111111"/>
          <w:sz w:val="22"/>
        </w:rPr>
        <w:t>AI 收益扩散得到强化，但算力半导体风险预算收紧</w:t>
      </w:r>
    </w:p>
    <w:p>
      <w:pPr>
        <w:keepLines w:val="0"/>
      </w:pPr>
      <w:r>
        <w:rPr>
          <w:rFonts w:ascii="Calibri" w:hAnsi="Calibri" w:eastAsia="Hiragino Sans GB"/>
          <w:b w:val="0"/>
          <w:color w:val="111111"/>
          <w:sz w:val="22"/>
        </w:rPr>
        <w:t>standing thesis 将 NAND 盈利弹性锚定于价格和产品结构，而非单纯出货；本周证据进一步支持用产品结构、订单和现金流区分赢家，同时揭示先进封装、CPO、电力与资本开支消化可能成为串行约束。需求扩散逻辑得到强化，单一加速器和高集中度暴露则被削弱。</w:t>
      </w:r>
    </w:p>
    <w:p>
      <w:pPr>
        <w:pStyle w:val="TableCitation"/>
      </w:pPr>
      <w:r>
        <w:t>关联标的：</w:t>
      </w:r>
      <w:hyperlink r:id="rId45">
        <w:r>
          <w:rPr>
            <w:color w:val="1D5FD1"/>
            <w:u w:val="single"/>
            <w:sz w:val="17"/>
            <w:szCs w:val="17"/>
            <w:rFonts w:ascii="Calibri" w:hAnsi="Calibri" w:eastAsia="Hiragino Sans GB"/>
          </w:rPr>
          <w:t>NVDA</w:t>
        </w:r>
      </w:hyperlink>
      <w:r>
        <w:t xml:space="preserve"> · </w:t>
      </w:r>
      <w:hyperlink r:id="rId46">
        <w:r>
          <w:rPr>
            <w:color w:val="1D5FD1"/>
            <w:u w:val="single"/>
            <w:sz w:val="17"/>
            <w:szCs w:val="17"/>
            <w:rFonts w:ascii="Calibri" w:hAnsi="Calibri" w:eastAsia="Hiragino Sans GB"/>
          </w:rPr>
          <w:t>TSM</w:t>
        </w:r>
      </w:hyperlink>
      <w:r>
        <w:t xml:space="preserve"> · </w:t>
      </w:r>
      <w:hyperlink r:id="rId47">
        <w:r>
          <w:rPr>
            <w:color w:val="1D5FD1"/>
            <w:u w:val="single"/>
            <w:sz w:val="17"/>
            <w:szCs w:val="17"/>
            <w:rFonts w:ascii="Calibri" w:hAnsi="Calibri" w:eastAsia="Hiragino Sans GB"/>
          </w:rPr>
          <w:t>MU</w:t>
        </w:r>
      </w:hyperlink>
      <w:r>
        <w:t xml:space="preserve"> · </w:t>
      </w:r>
      <w:hyperlink r:id="rId48">
        <w:r>
          <w:rPr>
            <w:color w:val="1D5FD1"/>
            <w:u w:val="single"/>
            <w:sz w:val="17"/>
            <w:szCs w:val="17"/>
            <w:rFonts w:ascii="Calibri" w:hAnsi="Calibri" w:eastAsia="Hiragino Sans GB"/>
          </w:rPr>
          <w:t>000660.KS</w:t>
        </w:r>
      </w:hyperlink>
      <w:r>
        <w:t xml:space="preserve"> · </w:t>
      </w:r>
      <w:hyperlink r:id="rId49">
        <w:r>
          <w:rPr>
            <w:color w:val="1D5FD1"/>
            <w:u w:val="single"/>
            <w:sz w:val="17"/>
            <w:szCs w:val="17"/>
            <w:rFonts w:ascii="Calibri" w:hAnsi="Calibri" w:eastAsia="Hiragino Sans GB"/>
          </w:rPr>
          <w:t>AMD</w:t>
        </w:r>
      </w:hyperlink>
      <w:r>
        <w:t xml:space="preserve"> · </w:t>
      </w:r>
      <w:hyperlink r:id="rId50">
        <w:r>
          <w:rPr>
            <w:color w:val="1D5FD1"/>
            <w:u w:val="single"/>
            <w:sz w:val="17"/>
            <w:szCs w:val="17"/>
            <w:rFonts w:ascii="Calibri" w:hAnsi="Calibri" w:eastAsia="Hiragino Sans GB"/>
          </w:rPr>
          <w:t>AVGO</w:t>
        </w:r>
      </w:hyperlink>
    </w:p>
    <w:p>
      <w:pPr>
        <w:keepNext/>
      </w:pPr>
      <w:r>
        <w:rPr>
          <w:rFonts w:ascii="Calibri" w:hAnsi="Calibri" w:eastAsia="Hiragino Sans GB"/>
          <w:b/>
          <w:color w:val="D85B16"/>
          <w:sz w:val="18"/>
        </w:rPr>
        <w:t xml:space="preserve">04  SPLIT  </w:t>
      </w:r>
      <w:r>
        <w:rPr>
          <w:rFonts w:ascii="Calibri" w:hAnsi="Calibri" w:eastAsia="Hiragino Sans GB"/>
          <w:b/>
          <w:color w:val="111111"/>
          <w:sz w:val="22"/>
        </w:rPr>
        <w:t>Mag7 再分层从规模竞赛转向资本开支质量检验</w:t>
      </w:r>
    </w:p>
    <w:p>
      <w:pPr>
        <w:keepLines w:val="0"/>
      </w:pPr>
      <w:r>
        <w:rPr>
          <w:rFonts w:ascii="Calibri" w:hAnsi="Calibri" w:eastAsia="Hiragino Sans GB"/>
          <w:b w:val="0"/>
          <w:color w:val="111111"/>
          <w:sz w:val="22"/>
        </w:rPr>
        <w:t>standing thesis 认为 Mag7 将从平台垄断转向基础设施再分层；本周新增的算力租金通缩、项目滑期和资本开支质量研究，使分层标准从“谁投入更多”转为“谁能把投入转化为投运、利用率和现金回报”。再分层判断仍成立，但领先者尚不能仅凭资本开支规模确认。</w:t>
      </w:r>
    </w:p>
    <w:p>
      <w:pPr>
        <w:pStyle w:val="TableCitation"/>
      </w:pPr>
      <w:r>
        <w:t>关联标的：</w:t>
      </w:r>
      <w:hyperlink r:id="rId51">
        <w:r>
          <w:rPr>
            <w:color w:val="1D5FD1"/>
            <w:u w:val="single"/>
            <w:sz w:val="17"/>
            <w:szCs w:val="17"/>
            <w:rFonts w:ascii="Calibri" w:hAnsi="Calibri" w:eastAsia="Hiragino Sans GB"/>
          </w:rPr>
          <w:t>META</w:t>
        </w:r>
      </w:hyperlink>
      <w:r>
        <w:t xml:space="preserve"> · </w:t>
      </w:r>
      <w:hyperlink r:id="rId52">
        <w:r>
          <w:rPr>
            <w:color w:val="1D5FD1"/>
            <w:u w:val="single"/>
            <w:sz w:val="17"/>
            <w:szCs w:val="17"/>
            <w:rFonts w:ascii="Calibri" w:hAnsi="Calibri" w:eastAsia="Hiragino Sans GB"/>
          </w:rPr>
          <w:t>MSFT</w:t>
        </w:r>
      </w:hyperlink>
      <w:r>
        <w:t xml:space="preserve"> · </w:t>
      </w:r>
      <w:hyperlink r:id="rId53">
        <w:r>
          <w:rPr>
            <w:color w:val="1D5FD1"/>
            <w:u w:val="single"/>
            <w:sz w:val="17"/>
            <w:szCs w:val="17"/>
            <w:rFonts w:ascii="Calibri" w:hAnsi="Calibri" w:eastAsia="Hiragino Sans GB"/>
          </w:rPr>
          <w:t>AMZN</w:t>
        </w:r>
      </w:hyperlink>
      <w:r>
        <w:t xml:space="preserve"> · </w:t>
      </w:r>
      <w:hyperlink r:id="rId54">
        <w:r>
          <w:rPr>
            <w:color w:val="1D5FD1"/>
            <w:u w:val="single"/>
            <w:sz w:val="17"/>
            <w:szCs w:val="17"/>
            <w:rFonts w:ascii="Calibri" w:hAnsi="Calibri" w:eastAsia="Hiragino Sans GB"/>
          </w:rPr>
          <w:t>GOOGL</w:t>
        </w:r>
      </w:hyperlink>
      <w:r>
        <w:t xml:space="preserve"> · </w:t>
      </w:r>
      <w:hyperlink r:id="rId45">
        <w:r>
          <w:rPr>
            <w:color w:val="1D5FD1"/>
            <w:u w:val="single"/>
            <w:sz w:val="17"/>
            <w:szCs w:val="17"/>
            <w:rFonts w:ascii="Calibri" w:hAnsi="Calibri" w:eastAsia="Hiragino Sans GB"/>
          </w:rPr>
          <w:t>NVDA</w:t>
        </w:r>
      </w:hyperlink>
    </w:p>
    <w:p>
      <w:pPr>
        <w:keepNext/>
      </w:pPr>
      <w:r>
        <w:rPr>
          <w:rFonts w:ascii="Calibri" w:hAnsi="Calibri" w:eastAsia="Hiragino Sans GB"/>
          <w:b/>
          <w:color w:val="D85B16"/>
          <w:sz w:val="18"/>
        </w:rPr>
        <w:t xml:space="preserve">05  UNCHANGED_BUT_IMPORTANT  </w:t>
      </w:r>
      <w:r>
        <w:rPr>
          <w:rFonts w:ascii="Calibri" w:hAnsi="Calibri" w:eastAsia="Hiragino Sans GB"/>
          <w:b/>
          <w:color w:val="111111"/>
          <w:sz w:val="22"/>
        </w:rPr>
        <w:t>美联储仍是总阀门，但不再是唯一近端触发器</w:t>
      </w:r>
    </w:p>
    <w:p>
      <w:pPr>
        <w:keepLines w:val="0"/>
      </w:pPr>
      <w:r>
        <w:rPr>
          <w:rFonts w:ascii="Calibri" w:hAnsi="Calibri" w:eastAsia="Hiragino Sans GB"/>
          <w:b w:val="0"/>
          <w:color w:val="111111"/>
          <w:sz w:val="22"/>
        </w:rPr>
        <w:t>standing thesis 对全球资产再定价总阀门的判断保持重要；本周证据同时指出，日元套息调整、油价冲击和美元自身路径可能先于美联储决议改变跨资产相关性。由此，利率判断从单一政策方向转为多触发器框架，支持继续 HOLD 和分散，而非单押快速降息。</w:t>
      </w:r>
    </w:p>
    <w:p>
      <w:pPr>
        <w:pStyle w:val="TableCitation"/>
      </w:pPr>
      <w:r>
        <w:t>关联标的：</w:t>
      </w:r>
      <w:hyperlink r:id="rId55">
        <w:r>
          <w:rPr>
            <w:color w:val="1D5FD1"/>
            <w:u w:val="single"/>
            <w:sz w:val="17"/>
            <w:szCs w:val="17"/>
            <w:rFonts w:ascii="Calibri" w:hAnsi="Calibri" w:eastAsia="Hiragino Sans GB"/>
          </w:rPr>
          <w:t>TLT</w:t>
        </w:r>
      </w:hyperlink>
      <w:r>
        <w:t xml:space="preserve"> · </w:t>
      </w:r>
      <w:hyperlink r:id="rId56">
        <w:r>
          <w:rPr>
            <w:color w:val="1D5FD1"/>
            <w:u w:val="single"/>
            <w:sz w:val="17"/>
            <w:szCs w:val="17"/>
            <w:rFonts w:ascii="Calibri" w:hAnsi="Calibri" w:eastAsia="Hiragino Sans GB"/>
          </w:rPr>
          <w:t>IEF</w:t>
        </w:r>
      </w:hyperlink>
      <w:r>
        <w:t xml:space="preserve"> · </w:t>
      </w:r>
      <w:hyperlink r:id="rId57">
        <w:r>
          <w:rPr>
            <w:color w:val="1D5FD1"/>
            <w:u w:val="single"/>
            <w:sz w:val="17"/>
            <w:szCs w:val="17"/>
            <w:rFonts w:ascii="Calibri" w:hAnsi="Calibri" w:eastAsia="Hiragino Sans GB"/>
          </w:rPr>
          <w:t>UUP</w:t>
        </w:r>
      </w:hyperlink>
      <w:r>
        <w:t xml:space="preserve"> · </w:t>
      </w:r>
      <w:hyperlink r:id="rId58">
        <w:r>
          <w:rPr>
            <w:color w:val="1D5FD1"/>
            <w:u w:val="single"/>
            <w:sz w:val="17"/>
            <w:szCs w:val="17"/>
            <w:rFonts w:ascii="Calibri" w:hAnsi="Calibri" w:eastAsia="Hiragino Sans GB"/>
          </w:rPr>
          <w:t>GLD</w:t>
        </w:r>
      </w:hyperlink>
      <w:r>
        <w:t xml:space="preserve"> · </w:t>
      </w:r>
      <w:hyperlink r:id="rId59">
        <w:r>
          <w:rPr>
            <w:color w:val="1D5FD1"/>
            <w:u w:val="single"/>
            <w:sz w:val="17"/>
            <w:szCs w:val="17"/>
            <w:rFonts w:ascii="Calibri" w:hAnsi="Calibri" w:eastAsia="Hiragino Sans GB"/>
          </w:rPr>
          <w:t>FXY</w:t>
        </w:r>
      </w:hyperlink>
    </w:p>
    <w:p>
      <w:pPr>
        <w:pStyle w:val="Heading1"/>
      </w:pPr>
      <w:r>
        <w:t>5. 赛道配置与下一催化</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600"/>
        <w:gridCol w:w="1250"/>
        <w:gridCol w:w="2300"/>
        <w:gridCol w:w="2550"/>
        <w:gridCol w:w="2660"/>
      </w:tblGrid>
      <w:tr>
        <w:trPr>
          <w:cantSplit/>
          <w:tblHeader w:val="true"/>
        </w:trPr>
        <w:tc>
          <w:tcPr>
            <w:tcW w:type="dxa" w:w="6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RANK</w:t>
            </w:r>
          </w:p>
        </w:tc>
        <w:tc>
          <w:tcPr>
            <w:tcW w:type="dxa" w:w="12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STANCE</w:t>
            </w:r>
          </w:p>
        </w:tc>
        <w:tc>
          <w:tcPr>
            <w:tcW w:type="dxa" w:w="23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LANE</w:t>
            </w:r>
          </w:p>
        </w:tc>
        <w:tc>
          <w:tcPr>
            <w:tcW w:type="dxa" w:w="25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NEXT CATALYST</w:t>
            </w:r>
          </w:p>
        </w:tc>
        <w:tc>
          <w:tcPr>
            <w:tcW w:type="dxa" w:w="2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KEY EXPOSURES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8864B"/>
                <w:sz w:val="15"/>
              </w:rPr>
              <w:t>OVERWEIGHT</w:t>
            </w:r>
          </w:p>
        </w:tc>
        <w:tc>
          <w:tcPr>
            <w:tcW w:type="dxa" w:w="2300"/>
            <w:tcMar>
              <w:top w:w="80" w:type="dxa"/>
              <w:bottom w:w="80" w:type="dxa"/>
              <w:start w:w="120" w:type="dxa"/>
              <w:end w:w="120" w:type="dxa"/>
            </w:tcMar>
          </w:tcPr>
          <w:p>
            <w:hyperlink r:id="rId60">
              <w:r>
                <w:rPr>
                  <w:color w:val="1D5FD1"/>
                  <w:u w:val="single"/>
                  <w:b/>
                  <w:sz w:val="16"/>
                  <w:szCs w:val="16"/>
                  <w:rFonts w:ascii="Calibri" w:hAnsi="Calibri" w:eastAsia="Hiragino Sans GB"/>
                </w:rPr>
                <w:t>AI 电力/电网设备</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GEV · ETN · 002028.SZ · 600089.SH · CEG · VST</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1">
              <w:r>
                <w:rPr>
                  <w:color w:val="1D5FD1"/>
                  <w:u w:val="single"/>
                  <w:b/>
                  <w:sz w:val="16"/>
                  <w:szCs w:val="16"/>
                  <w:rFonts w:ascii="Calibri" w:hAnsi="Calibri" w:eastAsia="Hiragino Sans GB"/>
                </w:rPr>
                <w:t>A股半导体/两融负 Gamma</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688256.SH · 588000.SH · 688981.SH · 0981.HK · 688041.SH · 688008.SH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3</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2">
              <w:r>
                <w:rPr>
                  <w:color w:val="1D5FD1"/>
                  <w:u w:val="single"/>
                  <w:b/>
                  <w:sz w:val="16"/>
                  <w:szCs w:val="16"/>
                  <w:rFonts w:ascii="Calibri" w:hAnsi="Calibri" w:eastAsia="Hiragino Sans GB"/>
                </w:rPr>
                <w:t>A股风险偏好/两融</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510300.SH · 512100.SH · 688729.SH · 301221.SZ · 688667.SH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4</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3">
              <w:r>
                <w:rPr>
                  <w:color w:val="1D5FD1"/>
                  <w:u w:val="single"/>
                  <w:b/>
                  <w:sz w:val="16"/>
                  <w:szCs w:val="16"/>
                  <w:rFonts w:ascii="Calibri" w:hAnsi="Calibri" w:eastAsia="Hiragino Sans GB"/>
                </w:rPr>
                <w:t>先进封装/HBM4 闸门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NVDA · MU · 000660.KS · ASML · 002916.SZ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5</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2">
              <w:r>
                <w:rPr>
                  <w:color w:val="1D5FD1"/>
                  <w:u w:val="single"/>
                  <w:b/>
                  <w:sz w:val="16"/>
                  <w:szCs w:val="16"/>
                  <w:rFonts w:ascii="Calibri" w:hAnsi="Calibri" w:eastAsia="Hiragino Sans GB"/>
                </w:rPr>
                <w:t>AI 算力半导体</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NVDA · TSM · META · AMD · AVGO · 000660.KS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6</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4">
              <w:r>
                <w:rPr>
                  <w:color w:val="1D5FD1"/>
                  <w:u w:val="single"/>
                  <w:b/>
                  <w:sz w:val="16"/>
                  <w:szCs w:val="16"/>
                  <w:rFonts w:ascii="Calibri" w:hAnsi="Calibri" w:eastAsia="Hiragino Sans GB"/>
                </w:rPr>
                <w:t>油气/地缘通胀</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油价和金属缺口是否从成本冲击变成需求破坏</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0883.HK · SLB · OXY · CVX · XOM · COP</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7</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6">
              <w:r>
                <w:rPr>
                  <w:color w:val="1D5FD1"/>
                  <w:u w:val="single"/>
                  <w:b/>
                  <w:sz w:val="16"/>
                  <w:szCs w:val="16"/>
                  <w:rFonts w:ascii="Calibri" w:hAnsi="Calibri" w:eastAsia="Hiragino Sans GB"/>
                </w:rPr>
                <w:t>美债利率/美元再定价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TLT · IEF · JPM · UUP · KRE · CME</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8</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5">
              <w:r>
                <w:rPr>
                  <w:color w:val="1D5FD1"/>
                  <w:u w:val="single"/>
                  <w:b/>
                  <w:sz w:val="16"/>
                  <w:szCs w:val="16"/>
                  <w:rFonts w:ascii="Calibri" w:hAnsi="Calibri" w:eastAsia="Hiragino Sans GB"/>
                </w:rPr>
                <w:t>A股硬科技/科创50</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300308.SZ · 688256.SH · 688981.SH · 688008.SH · 688041.SH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9</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6">
              <w:r>
                <w:rPr>
                  <w:color w:val="1D5FD1"/>
                  <w:u w:val="single"/>
                  <w:b/>
                  <w:sz w:val="16"/>
                  <w:szCs w:val="16"/>
                  <w:rFonts w:ascii="Calibri" w:hAnsi="Calibri" w:eastAsia="Hiragino Sans GB"/>
                </w:rPr>
                <w:t>日元套息/EM 科技流动性</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KWEB · FXY · NVDA · CME · 000660.KS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10</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7">
              <w:r>
                <w:rPr>
                  <w:color w:val="1D5FD1"/>
                  <w:u w:val="single"/>
                  <w:b/>
                  <w:sz w:val="16"/>
                  <w:szCs w:val="16"/>
                  <w:rFonts w:ascii="Calibri" w:hAnsi="Calibri" w:eastAsia="Hiragino Sans GB"/>
                </w:rPr>
                <w:t>食品加工/成本传导</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600298.SH · 001215.SZ · 603027.SH · 300973.SZ · 603317.SH · 002847.SZ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8">
              <w:r>
                <w:rPr>
                  <w:color w:val="1D5FD1"/>
                  <w:u w:val="single"/>
                  <w:b/>
                  <w:sz w:val="16"/>
                  <w:szCs w:val="16"/>
                  <w:rFonts w:ascii="Calibri" w:hAnsi="Calibri" w:eastAsia="Hiragino Sans GB"/>
                </w:rPr>
                <w:t>中国大健康/创新药出海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1801.HK · 600276.SH · 2359.HK · 9926.HK · 2269.HK · 603259.SH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9">
              <w:r>
                <w:rPr>
                  <w:color w:val="1D5FD1"/>
                  <w:u w:val="single"/>
                  <w:b/>
                  <w:sz w:val="16"/>
                  <w:szCs w:val="16"/>
                  <w:rFonts w:ascii="Calibri" w:hAnsi="Calibri" w:eastAsia="Hiragino Sans GB"/>
                </w:rPr>
                <w:t>公用事业/电网信用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CEG · AEP · DUK · 600025.SH · 003816.SZ</w:t>
            </w:r>
          </w:p>
        </w:tc>
      </w:tr>
    </w:tbl>
    <w:p>
      <w:pPr>
        <w:pStyle w:val="Heading1"/>
      </w:pPr>
      <w:r>
        <w:t>6. 关键分歧：保留正反两面</w:t>
      </w:r>
    </w:p>
    <w:p>
      <w:pPr>
        <w:pStyle w:val="Heading2"/>
      </w:pPr>
      <w:r>
        <w:t>01 · AI 电力瓶颈：再通胀催化还是投资递延</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并网排队、变压器交期和可靠电源稀缺可维持设备订单与电力议价，使 AI 资本开支经能源及设备成本进入通胀定价。</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若信用折扣和并网约束导致数据中心延期，近期固定投资、用电需求和能源服务价格可能先降温；电力稀缺不能自动等同于公用事业盈利兑现。</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同时观察项目开工与投运、并网排队、变压器交期、合同担保覆盖，以及 CPI/PCE 能源服务分项；投运和价格同步走强才支持再通胀，延期扩大且需求分项走弱则支持递延判断。</w:t>
            </w:r>
          </w:p>
        </w:tc>
      </w:tr>
    </w:tbl>
    <w:p>
      <w:pPr>
        <w:pStyle w:val="Heading2"/>
      </w:pPr>
      <w:r>
        <w:t>02 · AI 算力：需求扩散还是串行瓶颈放大集中风险</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AI 需求正从单一加速器扩散至存储、定制芯片、云平台和电力设备，产品结构改善可为部分供应商提供更持久的盈利弹性。</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先进封装、CPO、电力和融资条件可能构成串行闸门；任何一环延迟都可能让高估值、高集中度暴露先承受资本开支消化压力。</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观察云厂商资本开支指引、供应链订单、先进封装交付、存储产品结构和自由现金流是否同步改善，而不是只看需求叙事或计划金额。</w:t>
            </w:r>
          </w:p>
        </w:tc>
      </w:tr>
    </w:tbl>
    <w:p>
      <w:pPr>
        <w:pStyle w:val="Heading2"/>
      </w:pPr>
      <w:r>
        <w:t>03 · A股红利/硬科技杠铃：分散器还是共同流动性交易</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经过质量筛选的银行、公用事业和现金可构成防御腿，硬科技则保留政策与产业弹性；若资金面改善，两腿可以在不同宏观状态下互补。</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ETF 被动化和两融收缩可能压制硬科技，银行净息差与资本补充压力又限制红利腿上限；在风险偏好恶化时，两腿可能同时失效。</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观察融资余额、ETF 申赎和北向资金是否同向，并核验银行分红能力及公用事业现金流；只有流动性与基本面同时改善，杠铃对称性才恢复。</w:t>
            </w:r>
          </w:p>
        </w:tc>
      </w:tr>
    </w:tbl>
    <w:p>
      <w:pPr>
        <w:pStyle w:val="Heading2"/>
      </w:pPr>
      <w:r>
        <w:t>04 · 全球再定价：美联储主导还是日元、油价与美元先行</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CPI/PCE 和油价仍决定实际利率与美联储反应函数，美联储因此继续是久期、美元和高估值资产的总阀门。</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日元融资去杠杆或美元路径变化可能在政策会议前触发跨资产减仓，使单纯围绕美联储方向建立的对冲失效。</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 CPI/PCE、油价、实际利率、日元波动和美元方向是否共振；若日元与美元先改变相关性，应优先降低跨资产杠杆，而非等待政策信号。</w:t>
            </w:r>
          </w:p>
        </w:tc>
      </w:tr>
    </w:tbl>
    <w:p>
      <w:pPr>
        <w:pStyle w:val="Heading1"/>
      </w:pPr>
      <w:r>
        <w:t>7. 下周验证清单</w:t>
      </w:r>
    </w:p>
    <w:p>
      <w:pPr>
        <w:pStyle w:val="Heading2"/>
      </w:pPr>
      <w:r>
        <w:t>01 · 云厂商资本开支质量与项目兑现</w:t>
      </w:r>
    </w:p>
    <w:p>
      <w:pPr>
        <w:keepLines/>
      </w:pPr>
      <w:r>
        <w:rPr>
          <w:rFonts w:ascii="Calibri" w:hAnsi="Calibri" w:eastAsia="Hiragino Sans GB"/>
          <w:b w:val="0"/>
          <w:color w:val="5E6268"/>
          <w:sz w:val="22"/>
        </w:rPr>
        <w:t>这是 Mag7 再分层和 AI 算力半导体风险预算的共同验证点；计划金额只有转化为投运、订单、利用率和现金回报才构成确认。</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云厂商公开上修或维持资本开支指引，同时项目投运、供应链订单或利用率至少两项改善。</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Mag7 继续 HOLD；AI 算力半导体仍执行 TRIM，但可将少量风险预算回补至订单、产品结构和自由现金流确认更强的标的。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资本开支指引下修、项目延期范围扩大，或订单与利用率继续背离计划金额。</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继续执行 AI 算力半导体 TRIM，降低高集中度加速器暴露；Mag7 保持 HOLD，不因研究热度增加仓位。</w:t>
            </w:r>
          </w:p>
        </w:tc>
      </w:tr>
    </w:tbl>
    <w:p>
      <w:pPr>
        <w:pStyle w:val="Heading2"/>
      </w:pPr>
      <w:r>
        <w:t>02 · CPI/PCE、油价与实际利率联动</w:t>
      </w:r>
    </w:p>
    <w:p>
      <w:pPr>
        <w:keepLines/>
      </w:pPr>
      <w:r>
        <w:rPr>
          <w:rFonts w:ascii="Calibri" w:hAnsi="Calibri" w:eastAsia="Hiragino Sans GB"/>
          <w:b w:val="0"/>
          <w:color w:val="5E6268"/>
          <w:sz w:val="22"/>
        </w:rPr>
        <w:t>该组合信号可区分 AI 电力约束是形成再通胀，还是先造成投资和需求降温，并直接约束美债久期与高估值资产。</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 未再加速、油价冲击消退，且实际利率回落。</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美债利率/美元再定价保持 HOLD，可提高中久期国债的分散作用，同时保留黄金和美元对冲；AI 再通胀主题仍等待价格确认。</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 再加速，油价持续抬升并推动实际利率上行。</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降低长久期和高估值集中风险，保留美元对冲及黄金分散；AI 再通胀主题继续 HOLD，不追逐未经兑现的受益叙事。</w:t>
            </w:r>
          </w:p>
        </w:tc>
      </w:tr>
    </w:tbl>
    <w:p>
      <w:pPr>
        <w:pStyle w:val="Heading2"/>
      </w:pPr>
      <w:r>
        <w:t>03 · A股融资余额、ETF 申赎与北向资金方向</w:t>
      </w:r>
    </w:p>
    <w:p>
      <w:pPr>
        <w:keepLines/>
      </w:pPr>
      <w:r>
        <w:rPr>
          <w:rFonts w:ascii="Calibri" w:hAnsi="Calibri" w:eastAsia="Hiragino Sans GB"/>
          <w:b w:val="0"/>
          <w:color w:val="5E6268"/>
          <w:sz w:val="22"/>
        </w:rPr>
        <w:t>三项指标可检验硬科技去杠杆是否接近结束，以及红利/硬科技杠铃能否恢复对称性；当前没有市场报价数据，结果必须等待观察。</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融资余额企稳，宽基及科创相关 ETF 申购改善，且北向资金方向一致。</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A股红利/硬科技杠铃保持 HOLD，可小幅恢复硬科技风险预算，同时保留经现金流和资本质量筛选的红利底仓。</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融资余额继续收缩、ETF 持续赎回，或北向资金与科技暴露反向。</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继续 HOLD 并压低硬科技腿；红利腿转向现金流质量更高的公用事业和现金，降低仅依赖高股息标签的银行暴露。</w:t>
            </w:r>
          </w:p>
        </w:tc>
      </w:tr>
    </w:tbl>
    <w:p>
      <w:pPr>
        <w:pStyle w:val="Heading2"/>
      </w:pPr>
      <w:r>
        <w:t>04 · 并网排队、变压器交期与电力合同信用质量</w:t>
      </w:r>
    </w:p>
    <w:p>
      <w:pPr>
        <w:keepLines/>
      </w:pPr>
      <w:r>
        <w:rPr>
          <w:rFonts w:ascii="Calibri" w:hAnsi="Calibri" w:eastAsia="Hiragino Sans GB"/>
          <w:b w:val="0"/>
          <w:color w:val="5E6268"/>
          <w:sz w:val="22"/>
        </w:rPr>
        <w:t>AI 电力主线的关键已从“缺电受益”转为项目通道和付款能力筛选；设备订单、受监管负荷和合同信用不能混为一谈。</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并网排队和变压器交期继续拉长，但项目投运未恶化，且合同担保、抵押或退出费覆盖改善。</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 AI 算力半导体 TRIM，将 AI 基础设施风险预算优先配置于通道适应性更强的电网设备和信用质量更高的公用事业敞口。</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项目延期扩大、设备订单推迟，或签约主体信用和担保覆盖恶化。</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同步降低高相关性的 AI 电力篮子和算力半导体暴露，提高现金、中久期国债与黄金的分散权重。</w:t>
            </w:r>
          </w:p>
        </w:tc>
      </w:tr>
    </w:tbl>
    <w:p>
      <w:pPr>
        <w:pStyle w:val="Heading1"/>
      </w:pPr>
      <w:r>
        <w:t>8. 发布质量与数据边界</w:t>
      </w:r>
    </w:p>
    <w:p>
      <w:pPr>
        <w:keepLines w:val="0"/>
      </w:pPr>
      <w:r>
        <w:rPr>
          <w:rFonts w:ascii="Calibri" w:hAnsi="Calibri" w:eastAsia="Hiragino Sans GB"/>
          <w:b/>
          <w:color w:val="111111"/>
          <w:sz w:val="22"/>
        </w:rPr>
        <w:t>本周结构化市场报价为空，因此不发布伪精确收益归因；正式命中率与 Brier 需要已结算 forecast 合约。</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500"/>
        <w:gridCol w:w="1860"/>
        <w:gridCol w:w="5000"/>
      </w:tblGrid>
      <w:tr>
        <w:trPr>
          <w:cantSplit/>
          <w:tblHeader w:val="true"/>
        </w:trPr>
        <w:tc>
          <w:tcPr>
            <w:tcW w:type="dxa" w:w="2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CHECK</w:t>
            </w:r>
          </w:p>
        </w:tc>
        <w:tc>
          <w:tcPr>
            <w:tcW w:type="dxa" w:w="18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STATUS / VALUE</w:t>
            </w:r>
          </w:p>
        </w:tc>
        <w:tc>
          <w:tcPr>
            <w:tcW w:type="dxa" w:w="50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INTERPRETATION</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公开来源数</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80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公开来源覆盖</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操作结论证据覆盖</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5/5</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每条操作结论均有证据映射</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反向证据</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111</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保留反向与挑战证据</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上周基线</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2026-W29</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是否具备可比较上周基线</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结构化市场报价</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是否具备结构化市场报价</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人类友好综合</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structured_llm</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是否完成人类友好叙事综合</w:t>
            </w:r>
          </w:p>
        </w:tc>
      </w:tr>
    </w:tbl>
    <w:p>
      <w:pPr>
        <w:keepLines w:val="0"/>
      </w:pPr>
      <w:r>
        <w:rPr>
          <w:rFonts w:ascii="Calibri" w:hAnsi="Calibri" w:eastAsia="Hiragino Sans GB"/>
          <w:b/>
          <w:color w:val="C92A2A"/>
          <w:sz w:val="22"/>
        </w:rPr>
        <w:t>本版明确不发布：verified_market_performance · settled_forecast_hit_rate_and_brier</w:t>
      </w:r>
    </w:p>
    <w:p>
      <w:pPr>
        <w:keepLines w:val="0"/>
      </w:pPr>
      <w:r>
        <w:rPr>
          <w:rFonts w:ascii="Calibri" w:hAnsi="Calibri" w:eastAsia="Hiragino Sans GB"/>
          <w:b w:val="0"/>
          <w:color w:val="5E6268"/>
          <w:sz w:val="22"/>
        </w:rPr>
        <w:t>仅包含已发布研究合约、公开报告路径和可复查映射；不包含内部运行记录、鉴权或生产提示。</w:t>
      </w:r>
    </w:p>
    <w:p>
      <w:r>
        <w:br w:type="page"/>
      </w:r>
    </w:p>
    <w:p>
      <w:pPr>
        <w:pStyle w:val="SectionLabel"/>
      </w:pPr>
      <w:r>
        <w:rPr>
          <w:rFonts w:ascii="Calibri" w:hAnsi="Calibri" w:eastAsia="Hiragino Sans GB"/>
          <w:b/>
          <w:color w:val="1D5FD1"/>
          <w:sz w:val="17"/>
        </w:rPr>
        <w:t>PROVENANCE LEDGER</w:t>
      </w:r>
    </w:p>
    <w:p>
      <w:pPr>
        <w:pStyle w:val="Heading1"/>
      </w:pPr>
      <w:r>
        <w:t>9. 完整来源账本</w:t>
      </w:r>
    </w:p>
    <w:p>
      <w:pPr>
        <w:keepLines w:val="0"/>
      </w:pPr>
      <w:r>
        <w:rPr>
          <w:rFonts w:ascii="Calibri" w:hAnsi="Calibri" w:eastAsia="Hiragino Sans GB"/>
          <w:b w:val="0"/>
          <w:color w:val="111111"/>
          <w:sz w:val="22"/>
        </w:rPr>
        <w:t>共 80 条公开来源。标题可点击进入对应研究详情；本表保留日期、类别和主要证据角色。</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520"/>
        <w:gridCol w:w="1240"/>
        <w:gridCol w:w="5940"/>
        <w:gridCol w:w="1660"/>
      </w:tblGrid>
      <w:tr>
        <w:trPr>
          <w:cantSplit/>
          <w:tblHeader w:val="true"/>
        </w:trPr>
        <w:tc>
          <w:tcPr>
            <w:tcW w:type="dxa" w:w="5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NO.</w:t>
            </w:r>
          </w:p>
        </w:tc>
        <w:tc>
          <w:tcPr>
            <w:tcW w:type="dxa" w:w="12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DATE</w:t>
            </w:r>
          </w:p>
        </w:tc>
        <w:tc>
          <w:tcPr>
            <w:tcW w:type="dxa" w:w="59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REPORT</w:t>
            </w:r>
          </w:p>
        </w:tc>
        <w:tc>
          <w:tcPr>
            <w:tcW w:type="dxa" w:w="1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ROLE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5">
              <w:r>
                <w:rPr>
                  <w:color w:val="1D5FD1"/>
                  <w:u w:val="single"/>
                  <w:b/>
                  <w:sz w:val="16"/>
                  <w:szCs w:val="16"/>
                  <w:rFonts w:ascii="Calibri" w:hAnsi="Calibri" w:eastAsia="Hiragino Sans GB"/>
                </w:rPr>
                <w:t>AI基础设施电力与信用瓶颈的宏观通胀与资本开支效应：对美国结构性通胀、...</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8">
              <w:r>
                <w:rPr>
                  <w:color w:val="1D5FD1"/>
                  <w:u w:val="single"/>
                  <w:b/>
                  <w:sz w:val="16"/>
                  <w:szCs w:val="16"/>
                  <w:rFonts w:ascii="Calibri" w:hAnsi="Calibri" w:eastAsia="Hiragino Sans GB"/>
                </w:rPr>
                <w:t>2026-07-20 压力测试：AI 数据中心滑期、美国固定投资与 CPI 能源服务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6">
              <w:r>
                <w:rPr>
                  <w:color w:val="1D5FD1"/>
                  <w:u w:val="single"/>
                  <w:b/>
                  <w:sz w:val="16"/>
                  <w:szCs w:val="16"/>
                  <w:rFonts w:ascii="Calibri" w:hAnsi="Calibri" w:eastAsia="Hiragino Sans GB"/>
                </w:rPr>
                <w:t>2026-07-20 策略报告：将数据中心电力合同信用折扣转化为跨资产仓位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1">
              <w:r>
                <w:rPr>
                  <w:color w:val="1D5FD1"/>
                  <w:u w:val="single"/>
                  <w:b/>
                  <w:sz w:val="16"/>
                  <w:szCs w:val="16"/>
                  <w:rFonts w:ascii="Calibri" w:hAnsi="Calibri" w:eastAsia="Hiragino Sans GB"/>
                </w:rPr>
                <w:t>2026-07-20 — A股红利防线最终仓位校准：银行质量筛选后的超配比例与公用事业、保险、现金之间的...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0">
              <w:r>
                <w:rPr>
                  <w:color w:val="1D5FD1"/>
                  <w:u w:val="single"/>
                  <w:b/>
                  <w:sz w:val="16"/>
                  <w:szCs w:val="16"/>
                  <w:rFonts w:ascii="Calibri" w:hAnsi="Calibri" w:eastAsia="Hiragino Sans GB"/>
                </w:rPr>
                <w:t>凸性定价与期权结构化：9月FOMC利率价差与布伦特看涨价差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7">
              <w:r>
                <w:rPr>
                  <w:color w:val="1D5FD1"/>
                  <w:u w:val="single"/>
                  <w:b/>
                  <w:sz w:val="16"/>
                  <w:szCs w:val="16"/>
                  <w:rFonts w:ascii="Calibri" w:hAnsi="Calibri" w:eastAsia="Hiragino Sans GB"/>
                </w:rPr>
                <w:t>压力测试CPO对冲方案：先进封装瓶颈是否会从逻辑芯片传导至光电集成领域？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31">
              <w:r>
                <w:rPr>
                  <w:color w:val="1D5FD1"/>
                  <w:u w:val="single"/>
                  <w:b/>
                  <w:sz w:val="16"/>
                  <w:szCs w:val="16"/>
                  <w:rFonts w:ascii="Calibri" w:hAnsi="Calibri" w:eastAsia="Hiragino Sans GB"/>
                </w:rPr>
                <w:t>美联储货币政策转型：凯文·沃什“数据依赖型自主裁量”新沟通范式及全球宏观影响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1">
              <w:r>
                <w:rPr>
                  <w:color w:val="1D5FD1"/>
                  <w:u w:val="single"/>
                  <w:b/>
                  <w:sz w:val="16"/>
                  <w:szCs w:val="16"/>
                  <w:rFonts w:ascii="Calibri" w:hAnsi="Calibri" w:eastAsia="Hiragino Sans GB"/>
                </w:rPr>
                <w:t>2026-07-20 — 美国更高终端利率与全球电网设备短缺对中国的双向传导：人民币约束、政策空间与A股...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2">
              <w:r>
                <w:rPr>
                  <w:color w:val="1D5FD1"/>
                  <w:u w:val="single"/>
                  <w:b/>
                  <w:sz w:val="16"/>
                  <w:szCs w:val="16"/>
                  <w:rFonts w:ascii="Calibri" w:hAnsi="Calibri" w:eastAsia="Hiragino Sans GB"/>
                </w:rPr>
                <w:t>既非缓冲亦非套息：人民币是一场正被官方主动刹车的逼空</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3">
              <w:r>
                <w:rPr>
                  <w:color w:val="1D5FD1"/>
                  <w:u w:val="single"/>
                  <w:b/>
                  <w:sz w:val="16"/>
                  <w:szCs w:val="16"/>
                  <w:rFonts w:ascii="Calibri" w:hAnsi="Calibri" w:eastAsia="Hiragino Sans GB"/>
                </w:rPr>
                <w:t>人民币汇率路径与 USD/CNH 对冲阈值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4">
              <w:r>
                <w:rPr>
                  <w:color w:val="1D5FD1"/>
                  <w:u w:val="single"/>
                  <w:b/>
                  <w:sz w:val="16"/>
                  <w:szCs w:val="16"/>
                  <w:rFonts w:ascii="Calibri" w:hAnsi="Calibri" w:eastAsia="Hiragino Sans GB"/>
                </w:rPr>
                <w:t>2026-07-20 | 7月20日：AI电力主线从“缺电受益”转向通道、信用与共同瓶颈筛选</w:t>
              </w:r>
            </w:hyperlink>
            <w:r>
              <w:rPr>
                <w:rFonts w:ascii="Calibri" w:hAnsi="Calibri" w:eastAsia="Hiragino Sans GB"/>
                <w:color w:val="5E6268"/>
                <w:sz w:val="14"/>
              </w:rPr>
              <w:br/>
              <w:t>AI Institute 综合编辑 · Reader report</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daily_synthesis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5">
              <w:r>
                <w:rPr>
                  <w:color w:val="1D5FD1"/>
                  <w:u w:val="single"/>
                  <w:b/>
                  <w:sz w:val="16"/>
                  <w:szCs w:val="16"/>
                  <w:rFonts w:ascii="Calibri" w:hAnsi="Calibri" w:eastAsia="Hiragino Sans GB"/>
                </w:rPr>
                <w:t>2026-07-20｜均值回归窗口下的A股中小盘筹码出清与期权对冲策略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3">
              <w:r>
                <w:rPr>
                  <w:color w:val="1D5FD1"/>
                  <w:u w:val="single"/>
                  <w:b/>
                  <w:sz w:val="16"/>
                  <w:szCs w:val="16"/>
                  <w:rFonts w:ascii="Calibri" w:hAnsi="Calibri" w:eastAsia="Hiragino Sans GB"/>
                </w:rPr>
                <w:t>下半年地方债置换与净息差极限下行下上市银行的分红率稳定性与资本补充压力测试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2">
              <w:r>
                <w:rPr>
                  <w:color w:val="1D5FD1"/>
                  <w:u w:val="single"/>
                  <w:b/>
                  <w:sz w:val="16"/>
                  <w:szCs w:val="16"/>
                  <w:rFonts w:ascii="Calibri" w:hAnsi="Calibri" w:eastAsia="Hiragino Sans GB"/>
                </w:rPr>
                <w:t>2026-07-20｜ETF被动化浪潮对A股K型分化与杠铃策略“双腿”内部结构的分裂效应</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6">
              <w:r>
                <w:rPr>
                  <w:color w:val="1D5FD1"/>
                  <w:u w:val="single"/>
                  <w:b/>
                  <w:sz w:val="16"/>
                  <w:szCs w:val="16"/>
                  <w:rFonts w:ascii="Calibri" w:hAnsi="Calibri" w:eastAsia="Hiragino Sans GB"/>
                </w:rPr>
                <w:t>补库是真实的——但820亿美元是一次重复计算。扣除它自身触发的价格红利后，净拖累约为280亿美元</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7">
              <w:r>
                <w:rPr>
                  <w:color w:val="1D5FD1"/>
                  <w:u w:val="single"/>
                  <w:b/>
                  <w:sz w:val="16"/>
                  <w:szCs w:val="16"/>
                  <w:rFonts w:ascii="Calibri" w:hAnsi="Calibri" w:eastAsia="Hiragino Sans GB"/>
                </w:rPr>
                <w:t>PJM容量价格剧烈波动下AI相关高级ABS的信用利差扩张与回收率压力测试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8">
              <w:r>
                <w:rPr>
                  <w:color w:val="1D5FD1"/>
                  <w:u w:val="single"/>
                  <w:b/>
                  <w:sz w:val="16"/>
                  <w:szCs w:val="16"/>
                  <w:rFonts w:ascii="Calibri" w:hAnsi="Calibri" w:eastAsia="Hiragino Sans GB"/>
                </w:rPr>
                <w:t>电力墙真的砍掉了Hyperscaler的资本开支吗？在PJM约束下审读2025–2027年计划</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9">
              <w:r>
                <w:rPr>
                  <w:color w:val="1D5FD1"/>
                  <w:u w:val="single"/>
                  <w:b/>
                  <w:sz w:val="16"/>
                  <w:szCs w:val="16"/>
                  <w:rFonts w:ascii="Calibri" w:hAnsi="Calibri" w:eastAsia="Hiragino Sans GB"/>
                </w:rPr>
                <w:t>2026-07-20｜A股指数重仓股估值溢价与中小盘流动性折价的边界测算与均值回归触发条件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0">
              <w:r>
                <w:rPr>
                  <w:color w:val="1D5FD1"/>
                  <w:u w:val="single"/>
                  <w:b/>
                  <w:sz w:val="16"/>
                  <w:szCs w:val="16"/>
                  <w:rFonts w:ascii="Calibri" w:hAnsi="Calibri" w:eastAsia="Hiragino Sans GB"/>
                </w:rPr>
                <w:t>AI集中度已是板块级流动性脆弱，但尚非全市场两融事故</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1">
              <w:r>
                <w:rPr>
                  <w:color w:val="1D5FD1"/>
                  <w:u w:val="single"/>
                  <w:b/>
                  <w:sz w:val="16"/>
                  <w:szCs w:val="16"/>
                  <w:rFonts w:ascii="Calibri" w:hAnsi="Calibri" w:eastAsia="Hiragino Sans GB"/>
                </w:rPr>
                <w:t>百龙/三元配对交易的可执行性：自由流通盘、两融与融券资格、券源与解禁日历约束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2">
              <w:r>
                <w:rPr>
                  <w:color w:val="1D5FD1"/>
                  <w:u w:val="single"/>
                  <w:b/>
                  <w:sz w:val="16"/>
                  <w:szCs w:val="16"/>
                  <w:rFonts w:ascii="Calibri" w:hAnsi="Calibri" w:eastAsia="Hiragino Sans GB"/>
                </w:rPr>
                <w:t>级联真实存在、已跑完一半、且在结构上被提前拆除：两融持仓、科创板担保垫，以及融资盘在 5031 高...</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3">
              <w:r>
                <w:rPr>
                  <w:color w:val="1D5FD1"/>
                  <w:u w:val="single"/>
                  <w:b/>
                  <w:sz w:val="16"/>
                  <w:szCs w:val="16"/>
                  <w:rFonts w:ascii="Calibri" w:hAnsi="Calibri" w:eastAsia="Hiragino Sans GB"/>
                </w:rPr>
                <w:t>杠铃的重新指向：从能源轴转向核心—政策轴</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4">
              <w:r>
                <w:rPr>
                  <w:color w:val="1D5FD1"/>
                  <w:u w:val="single"/>
                  <w:b/>
                  <w:sz w:val="16"/>
                  <w:szCs w:val="16"/>
                  <w:rFonts w:ascii="Calibri" w:hAnsi="Calibri" w:eastAsia="Hiragino Sans GB"/>
                </w:rPr>
                <w:t>AI算力中心的核电破局：2026年超大型数据中心电力并网路径的战略重构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32">
              <w:r>
                <w:rPr>
                  <w:color w:val="1D5FD1"/>
                  <w:u w:val="single"/>
                  <w:b/>
                  <w:sz w:val="16"/>
                  <w:szCs w:val="16"/>
                  <w:rFonts w:ascii="Calibri" w:hAnsi="Calibri" w:eastAsia="Hiragino Sans GB"/>
                </w:rPr>
                <w:t>7月按兵不动但无降息期权：PCE-CPI楔子下的大类资产定价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5">
              <w:r>
                <w:rPr>
                  <w:color w:val="1D5FD1"/>
                  <w:u w:val="single"/>
                  <w:b/>
                  <w:sz w:val="16"/>
                  <w:szCs w:val="16"/>
                  <w:rFonts w:ascii="Calibri" w:hAnsi="Calibri" w:eastAsia="Hiragino Sans GB"/>
                </w:rPr>
                <w:t>北向资金大额流入后A股持仓结构重塑与两融去杠杆及解禁潮的对冲效应评估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6">
              <w:r>
                <w:rPr>
                  <w:color w:val="1D5FD1"/>
                  <w:u w:val="single"/>
                  <w:b/>
                  <w:sz w:val="16"/>
                  <w:szCs w:val="16"/>
                  <w:rFonts w:ascii="Calibri" w:hAnsi="Calibri" w:eastAsia="Hiragino Sans GB"/>
                </w:rPr>
                <w:t>三天窗口的跨资产定位：把触发器放在日元Gamma，而不是美联储Delta</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7">
              <w:r>
                <w:rPr>
                  <w:color w:val="1D5FD1"/>
                  <w:u w:val="single"/>
                  <w:b/>
                  <w:sz w:val="16"/>
                  <w:szCs w:val="16"/>
                  <w:rFonts w:ascii="Calibri" w:hAnsi="Calibri" w:eastAsia="Hiragino Sans GB"/>
                </w:rPr>
                <w:t>美关税日历重塑纺织服装格局：政策树坍缩与中资产能相对成本承压测算</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8">
              <w:r>
                <w:rPr>
                  <w:color w:val="1D5FD1"/>
                  <w:u w:val="single"/>
                  <w:b/>
                  <w:sz w:val="16"/>
                  <w:szCs w:val="16"/>
                  <w:rFonts w:ascii="Calibri" w:hAnsi="Calibri" w:eastAsia="Hiragino Sans GB"/>
                </w:rPr>
                <w:t>AI 电力篮子相关性风险：公用事业分析师研究记录，2026-07-19</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9">
              <w:r>
                <w:rPr>
                  <w:color w:val="1D5FD1"/>
                  <w:u w:val="single"/>
                  <w:b/>
                  <w:sz w:val="16"/>
                  <w:szCs w:val="16"/>
                  <w:rFonts w:ascii="Calibri" w:hAnsi="Calibri" w:eastAsia="Hiragino Sans GB"/>
                </w:rPr>
                <w:t>全球高利率环境下公用事业CapEx放缓风险对电力设备制造商订单韧性的压力测试报告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0">
              <w:r>
                <w:rPr>
                  <w:color w:val="1D5FD1"/>
                  <w:u w:val="single"/>
                  <w:b/>
                  <w:sz w:val="16"/>
                  <w:szCs w:val="16"/>
                  <w:rFonts w:ascii="Calibri" w:hAnsi="Calibri" w:eastAsia="Hiragino Sans GB"/>
                </w:rPr>
                <w:t>2026-07-19 — 美联储对AI电力瓶颈通胀的反应函数与R 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1">
              <w:r>
                <w:rPr>
                  <w:color w:val="1D5FD1"/>
                  <w:u w:val="single"/>
                  <w:b/>
                  <w:sz w:val="16"/>
                  <w:szCs w:val="16"/>
                  <w:rFonts w:ascii="Calibri" w:hAnsi="Calibri" w:eastAsia="Hiragino Sans GB"/>
                </w:rPr>
                <w:t>2026-07-19 全球宏观研究记录：Brent $85-90 情景下，谁的 2026 下半年通胀路径真的被上修？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2">
              <w:r>
                <w:rPr>
                  <w:color w:val="1D5FD1"/>
                  <w:u w:val="single"/>
                  <w:b/>
                  <w:sz w:val="16"/>
                  <w:szCs w:val="16"/>
                  <w:rFonts w:ascii="Calibri" w:hAnsi="Calibri" w:eastAsia="Hiragino Sans GB"/>
                </w:rPr>
                <w:t>2026-07-19 全球宏观研究记录：强美元与油价冲击的叠加——汇率通道作为通胀分化放大器的压力测试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3">
              <w:r>
                <w:rPr>
                  <w:color w:val="1D5FD1"/>
                  <w:u w:val="single"/>
                  <w:b/>
                  <w:sz w:val="16"/>
                  <w:szCs w:val="16"/>
                  <w:rFonts w:ascii="Calibri" w:hAnsi="Calibri" w:eastAsia="Hiragino Sans GB"/>
                </w:rPr>
                <w:t>2026-07-19 压力测试：PCE-CPI楔子与美联储反应函数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4">
              <w:r>
                <w:rPr>
                  <w:color w:val="1D5FD1"/>
                  <w:u w:val="single"/>
                  <w:b/>
                  <w:sz w:val="16"/>
                  <w:szCs w:val="16"/>
                  <w:rFonts w:ascii="Calibri" w:hAnsi="Calibri" w:eastAsia="Hiragino Sans GB"/>
                </w:rPr>
                <w:t>记忆体降价后的 AI 数据中心电力采购、并网排队与需量电费再定价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5">
              <w:r>
                <w:rPr>
                  <w:color w:val="1D5FD1"/>
                  <w:u w:val="single"/>
                  <w:b/>
                  <w:sz w:val="16"/>
                  <w:szCs w:val="16"/>
                  <w:rFonts w:ascii="Calibri" w:hAnsi="Calibri" w:eastAsia="Hiragino Sans GB"/>
                </w:rPr>
                <w:t>AI服务器与数据中心资本开支，能否撑住生益电子与华丰科技的2026年收入斜率？</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6">
              <w:r>
                <w:rPr>
                  <w:color w:val="1D5FD1"/>
                  <w:u w:val="single"/>
                  <w:b/>
                  <w:sz w:val="16"/>
                  <w:szCs w:val="16"/>
                  <w:rFonts w:ascii="Calibri" w:hAnsi="Calibri" w:eastAsia="Hiragino Sans GB"/>
                </w:rPr>
                <w:t>AI用电稀缺向业绩的传导：A股公用事业与电网设备公司的兑现度研判</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7">
              <w:r>
                <w:rPr>
                  <w:color w:val="1D5FD1"/>
                  <w:u w:val="single"/>
                  <w:b/>
                  <w:sz w:val="16"/>
                  <w:szCs w:val="16"/>
                  <w:rFonts w:ascii="Calibri" w:hAnsi="Calibri" w:eastAsia="Hiragino Sans GB"/>
                </w:rPr>
                <w:t>从 GPU 硬件 Beta 到电力物理瓶颈：AI 产业链中上游的资产配置与风格旋转</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8">
              <w:r>
                <w:rPr>
                  <w:color w:val="1D5FD1"/>
                  <w:u w:val="single"/>
                  <w:b/>
                  <w:sz w:val="16"/>
                  <w:szCs w:val="16"/>
                  <w:rFonts w:ascii="Calibri" w:hAnsi="Calibri" w:eastAsia="Hiragino Sans GB"/>
                </w:rPr>
                <w:t>2026-07-19 — 压力测试：民间技改Capex转正所需的产能利用率与工业品价格门槛</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9">
              <w:r>
                <w:rPr>
                  <w:color w:val="1D5FD1"/>
                  <w:u w:val="single"/>
                  <w:b/>
                  <w:sz w:val="16"/>
                  <w:szCs w:val="16"/>
                  <w:rFonts w:ascii="Calibri" w:hAnsi="Calibri" w:eastAsia="Hiragino Sans GB"/>
                </w:rPr>
                <w:t>2026-07-19 在10年期国债1.73%的环境下，为A股红利防御总账簿相对久期与现金定规模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00">
              <w:r>
                <w:rPr>
                  <w:color w:val="1D5FD1"/>
                  <w:u w:val="single"/>
                  <w:b/>
                  <w:sz w:val="16"/>
                  <w:szCs w:val="16"/>
                  <w:rFonts w:ascii="Calibri" w:hAnsi="Calibri" w:eastAsia="Hiragino Sans GB"/>
                </w:rPr>
                <w:t>2026-07-19 在2026-08-31半年报窗口前，把医药红利子仓重新锚定回A股红利防御总账簿</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01">
              <w:r>
                <w:rPr>
                  <w:color w:val="1D5FD1"/>
                  <w:u w:val="single"/>
                  <w:b/>
                  <w:sz w:val="16"/>
                  <w:szCs w:val="16"/>
                  <w:rFonts w:ascii="Calibri" w:hAnsi="Calibri" w:eastAsia="Hiragino Sans GB"/>
                </w:rPr>
                <w:t>A-股Barbell策略的红利腿内部反转与科技成长再激活路径 — 2026-07-19</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02">
              <w:r>
                <w:rPr>
                  <w:color w:val="1D5FD1"/>
                  <w:u w:val="single"/>
                  <w:b/>
                  <w:sz w:val="16"/>
                  <w:szCs w:val="16"/>
                  <w:rFonts w:ascii="Calibri" w:hAnsi="Calibri" w:eastAsia="Hiragino Sans GB"/>
                </w:rPr>
                <w:t>从信用下修至跨资产头寸：公用事业股票、信用与燃气/燃机产业链的相对定价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03">
              <w:r>
                <w:rPr>
                  <w:color w:val="1D5FD1"/>
                  <w:u w:val="single"/>
                  <w:b/>
                  <w:sz w:val="16"/>
                  <w:szCs w:val="16"/>
                  <w:rFonts w:ascii="Calibri" w:hAnsi="Calibri" w:eastAsia="Hiragino Sans GB"/>
                </w:rPr>
                <w:t>全球宏观挑战：电力墙真实存在，但“核电唯一路径”过窄（2026-07-19）</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04">
              <w:r>
                <w:rPr>
                  <w:color w:val="1D5FD1"/>
                  <w:u w:val="single"/>
                  <w:b/>
                  <w:sz w:val="16"/>
                  <w:szCs w:val="16"/>
                  <w:rFonts w:ascii="Calibri" w:hAnsi="Calibri" w:eastAsia="Hiragino Sans GB"/>
                </w:rPr>
                <w:t>平减指数的"真"复通胀与需求的"假"复苏：2026年上半年数据再解读</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05">
              <w:r>
                <w:rPr>
                  <w:color w:val="1D5FD1"/>
                  <w:u w:val="single"/>
                  <w:b/>
                  <w:sz w:val="16"/>
                  <w:szCs w:val="16"/>
                  <w:rFonts w:ascii="Calibri" w:hAnsi="Calibri" w:eastAsia="Hiragino Sans GB"/>
                </w:rPr>
                <w:t>通往 2026-07-29 的美联储反应函数——美元这条腿的闸门变量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06">
              <w:r>
                <w:rPr>
                  <w:color w:val="1D5FD1"/>
                  <w:u w:val="single"/>
                  <w:b/>
                  <w:sz w:val="16"/>
                  <w:szCs w:val="16"/>
                  <w:rFonts w:ascii="Calibri" w:hAnsi="Calibri" w:eastAsia="Hiragino Sans GB"/>
                </w:rPr>
                <w:t>酒店、餐饮与休闲产业链：在中证旅游 Beta 0.30 上限下重构消费服务代理组合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28">
              <w:r>
                <w:rPr>
                  <w:color w:val="1D5FD1"/>
                  <w:u w:val="single"/>
                  <w:b/>
                  <w:sz w:val="16"/>
                  <w:szCs w:val="16"/>
                  <w:rFonts w:ascii="Calibri" w:hAnsi="Calibri" w:eastAsia="Hiragino Sans GB"/>
                </w:rPr>
                <w:t>2026-07-19 研究卡：Meta Compute、B200租金通缩与算力市场分层</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07">
              <w:r>
                <w:rPr>
                  <w:color w:val="1D5FD1"/>
                  <w:u w:val="single"/>
                  <w:b/>
                  <w:sz w:val="16"/>
                  <w:szCs w:val="16"/>
                  <w:rFonts w:ascii="Calibri" w:hAnsi="Calibri" w:eastAsia="Hiragino Sans GB"/>
                </w:rPr>
                <w:t>2026-07-19 研究报告：算电协同与数据中心电力瓶颈下的公用事业与电网设备再定价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29">
              <w:r>
                <w:rPr>
                  <w:color w:val="1D5FD1"/>
                  <w:u w:val="single"/>
                  <w:b/>
                  <w:sz w:val="16"/>
                  <w:szCs w:val="16"/>
                  <w:rFonts w:ascii="Calibri" w:hAnsi="Calibri" w:eastAsia="Hiragino Sans GB"/>
                </w:rPr>
                <w:t>AI 基础设施分析师研究记录：Hyperscaler Capex 质量拆分与电力实物需求传导压力测试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9">
              <w:r>
                <w:rPr>
                  <w:color w:val="1D5FD1"/>
                  <w:u w:val="single"/>
                  <w:b/>
                  <w:sz w:val="16"/>
                  <w:szCs w:val="16"/>
                  <w:rFonts w:ascii="Calibri" w:hAnsi="Calibri" w:eastAsia="Hiragino Sans GB"/>
                </w:rPr>
                <w:t>TMT行业周报研究计划</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08">
              <w:r>
                <w:rPr>
                  <w:color w:val="1D5FD1"/>
                  <w:u w:val="single"/>
                  <w:b/>
                  <w:sz w:val="16"/>
                  <w:szCs w:val="16"/>
                  <w:rFonts w:ascii="Calibri" w:hAnsi="Calibri" w:eastAsia="Hiragino Sans GB"/>
                </w:rPr>
                <w:t>2026-07-19 — AI算力基础设施电力与电网瓶颈对硬科技仓位切换可行性的制约研究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33">
              <w:r>
                <w:rPr>
                  <w:color w:val="1D5FD1"/>
                  <w:u w:val="single"/>
                  <w:b/>
                  <w:sz w:val="16"/>
                  <w:szCs w:val="16"/>
                  <w:rFonts w:ascii="Calibri" w:hAnsi="Calibri" w:eastAsia="Hiragino Sans GB"/>
                </w:rPr>
                <w:t>美元的不对称缺口——压力测试结论：这不是美元的故事，套息的扳机也不在美联储手里</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09">
              <w:r>
                <w:rPr>
                  <w:color w:val="1D5FD1"/>
                  <w:u w:val="single"/>
                  <w:b/>
                  <w:sz w:val="16"/>
                  <w:szCs w:val="16"/>
                  <w:rFonts w:ascii="Calibri" w:hAnsi="Calibri" w:eastAsia="Hiragino Sans GB"/>
                </w:rPr>
                <w:t>触发人民币每日150基点失序贬值的外部利率与美元冲击路径 — 2026-07-19</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10">
              <w:r>
                <w:rPr>
                  <w:color w:val="1D5FD1"/>
                  <w:u w:val="single"/>
                  <w:b/>
                  <w:sz w:val="16"/>
                  <w:szCs w:val="16"/>
                  <w:rFonts w:ascii="Calibri" w:hAnsi="Calibri" w:eastAsia="Hiragino Sans GB"/>
                </w:rPr>
                <w:t>2026Q2 业绩窗口后的电力设备筹码再平衡规则</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11">
              <w:r>
                <w:rPr>
                  <w:color w:val="1D5FD1"/>
                  <w:u w:val="single"/>
                  <w:b/>
                  <w:sz w:val="16"/>
                  <w:szCs w:val="16"/>
                  <w:rFonts w:ascii="Calibri" w:hAnsi="Calibri" w:eastAsia="Hiragino Sans GB"/>
                </w:rPr>
                <w:t>电力成本传导与公用事业资本开支超级周期的宏观含义：AI电网投资是通胀脉冲还是被吸收的相对价格变...</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12">
              <w:r>
                <w:rPr>
                  <w:color w:val="1D5FD1"/>
                  <w:u w:val="single"/>
                  <w:b/>
                  <w:sz w:val="16"/>
                  <w:szCs w:val="16"/>
                  <w:rFonts w:ascii="Calibri" w:hAnsi="Calibri" w:eastAsia="Hiragino Sans GB"/>
                </w:rPr>
                <w:t>2026-07-19 — A股两融微观结构核验：去杠杆是否仍集中在电子/半导体？</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13">
              <w:r>
                <w:rPr>
                  <w:color w:val="1D5FD1"/>
                  <w:u w:val="single"/>
                  <w:b/>
                  <w:sz w:val="16"/>
                  <w:szCs w:val="16"/>
                  <w:rFonts w:ascii="Calibri" w:hAnsi="Calibri" w:eastAsia="Hiragino Sans GB"/>
                </w:rPr>
                <w:t>AI基础设施分析师研究报告（2026-07-19）：表后直连与微电网如何成为AI算力ROI的对冲工具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14">
              <w:r>
                <w:rPr>
                  <w:color w:val="1D5FD1"/>
                  <w:u w:val="single"/>
                  <w:b/>
                  <w:sz w:val="16"/>
                  <w:szCs w:val="16"/>
                  <w:rFonts w:ascii="Calibri" w:hAnsi="Calibri" w:eastAsia="Hiragino Sans GB"/>
                </w:rPr>
                <w:t>AI算力电力需求增长与电力设备出口关税重构的边际风险分析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15">
              <w:r>
                <w:rPr>
                  <w:color w:val="1D5FD1"/>
                  <w:u w:val="single"/>
                  <w:b/>
                  <w:sz w:val="16"/>
                  <w:szCs w:val="16"/>
                  <w:rFonts w:ascii="Calibri" w:hAnsi="Calibri" w:eastAsia="Hiragino Sans GB"/>
                </w:rPr>
                <w:t>日元挤压与美国通胀双重冲击下的中国政策应对与A股微观传导压力测试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16">
              <w:r>
                <w:rPr>
                  <w:color w:val="1D5FD1"/>
                  <w:u w:val="single"/>
                  <w:b/>
                  <w:sz w:val="16"/>
                  <w:szCs w:val="16"/>
                  <w:rFonts w:ascii="Calibri" w:hAnsi="Calibri" w:eastAsia="Hiragino Sans GB"/>
                </w:rPr>
                <w:t>美国232关税对中国干式变压器出口利润率的长期压制有多大？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17">
              <w:r>
                <w:rPr>
                  <w:color w:val="1D5FD1"/>
                  <w:u w:val="single"/>
                  <w:b/>
                  <w:sz w:val="16"/>
                  <w:szCs w:val="16"/>
                  <w:rFonts w:ascii="Calibri" w:hAnsi="Calibri" w:eastAsia="Hiragino Sans GB"/>
                </w:rPr>
                <w:t>全球贸易保护壁垒与美债高利率对电网设备出海持续性及供应链安全的冲击评估研究报告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18">
              <w:r>
                <w:rPr>
                  <w:color w:val="1D5FD1"/>
                  <w:u w:val="single"/>
                  <w:b/>
                  <w:sz w:val="16"/>
                  <w:szCs w:val="16"/>
                  <w:rFonts w:ascii="Calibri" w:hAnsi="Calibri" w:eastAsia="Hiragino Sans GB"/>
                </w:rPr>
                <w:t>2026-07-19 — A股硬科技有条件试仓的跨资产风险预算配置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19">
              <w:r>
                <w:rPr>
                  <w:color w:val="1D5FD1"/>
                  <w:u w:val="single"/>
                  <w:b/>
                  <w:sz w:val="16"/>
                  <w:szCs w:val="16"/>
                  <w:rFonts w:ascii="Calibri" w:hAnsi="Calibri" w:eastAsia="Hiragino Sans GB"/>
                </w:rPr>
                <w:t>增长惊吓与通胀粘性下的美联储、欧洲央行政策路径压力测试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20">
              <w:r>
                <w:rPr>
                  <w:color w:val="1D5FD1"/>
                  <w:u w:val="single"/>
                  <w:b/>
                  <w:sz w:val="16"/>
                  <w:szCs w:val="16"/>
                  <w:rFonts w:ascii="Calibri" w:hAnsi="Calibri" w:eastAsia="Hiragino Sans GB"/>
                </w:rPr>
                <w:t>美元这条腿失效后，对 research note 配置的重新承保——如何为"美联储按兵不动、BOJ 加速、275bp...</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21">
              <w:r>
                <w:rPr>
                  <w:color w:val="1D5FD1"/>
                  <w:u w:val="single"/>
                  <w:b/>
                  <w:sz w:val="16"/>
                  <w:szCs w:val="16"/>
                  <w:rFonts w:ascii="Calibri" w:hAnsi="Calibri" w:eastAsia="Hiragino Sans GB"/>
                </w:rPr>
                <w:t>美国利率路径对公用事业资本开支与项目收益率的影响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22">
              <w:r>
                <w:rPr>
                  <w:color w:val="1D5FD1"/>
                  <w:u w:val="single"/>
                  <w:b/>
                  <w:sz w:val="16"/>
                  <w:szCs w:val="16"/>
                  <w:rFonts w:ascii="Calibri" w:hAnsi="Calibri" w:eastAsia="Hiragino Sans GB"/>
                </w:rPr>
                <w:t>AI基础设施与电网并网瓶颈：截至2026-07-19的物理兑现验证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23">
              <w:r>
                <w:rPr>
                  <w:color w:val="1D5FD1"/>
                  <w:u w:val="single"/>
                  <w:b/>
                  <w:sz w:val="16"/>
                  <w:szCs w:val="16"/>
                  <w:rFonts w:ascii="Calibri" w:hAnsi="Calibri" w:eastAsia="Hiragino Sans GB"/>
                </w:rPr>
                <w:t>跨资产配置策略报告：再通胀与高利率压制下的防御性杠铃配置与A股轮动路径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24">
              <w:r>
                <w:rPr>
                  <w:color w:val="1D5FD1"/>
                  <w:u w:val="single"/>
                  <w:b/>
                  <w:sz w:val="16"/>
                  <w:szCs w:val="16"/>
                  <w:rFonts w:ascii="Calibri" w:hAnsi="Calibri" w:eastAsia="Hiragino Sans GB"/>
                </w:rPr>
                <w:t>受监管公用事业的资本开支扩张与费率分摊：电网巨额投资如何重塑费率库、回报率及居民电费政治红线</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25">
              <w:r>
                <w:rPr>
                  <w:color w:val="1D5FD1"/>
                  <w:u w:val="single"/>
                  <w:b/>
                  <w:sz w:val="16"/>
                  <w:szCs w:val="16"/>
                  <w:rFonts w:ascii="Calibri" w:hAnsi="Calibri" w:eastAsia="Hiragino Sans GB"/>
                </w:rPr>
                <w:t>全球宏观研究记录：Capex 压力测试下美国公用事业与科技成长股的风格轮动与估值分化</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26">
              <w:r>
                <w:rPr>
                  <w:color w:val="1D5FD1"/>
                  <w:u w:val="single"/>
                  <w:b/>
                  <w:sz w:val="16"/>
                  <w:szCs w:val="16"/>
                  <w:rFonts w:ascii="Calibri" w:hAnsi="Calibri" w:eastAsia="Hiragino Sans GB"/>
                </w:rPr>
                <w:t>电力红利去溢价 / 多资产利率对冲研究链的终期质检与出版合规审查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27">
              <w:r>
                <w:rPr>
                  <w:color w:val="1D5FD1"/>
                  <w:u w:val="single"/>
                  <w:b/>
                  <w:sz w:val="16"/>
                  <w:szCs w:val="16"/>
                  <w:rFonts w:ascii="Calibri" w:hAnsi="Calibri" w:eastAsia="Hiragino Sans GB"/>
                </w:rPr>
                <w:t>2026-07-19 部分半导体里程碑验证后的A股硬科技再入场时点</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28">
              <w:r>
                <w:rPr>
                  <w:color w:val="1D5FD1"/>
                  <w:u w:val="single"/>
                  <w:b/>
                  <w:sz w:val="16"/>
                  <w:szCs w:val="16"/>
                  <w:rFonts w:ascii="Calibri" w:hAnsi="Calibri" w:eastAsia="Hiragino Sans GB"/>
                </w:rPr>
                <w:t>首席策略师研究记录："Capex 削减 + 10Y 破 5%"情景下的跨资产构建——当股权久期与成长 beta 同跌...</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29">
              <w:r>
                <w:rPr>
                  <w:color w:val="1D5FD1"/>
                  <w:u w:val="single"/>
                  <w:b/>
                  <w:sz w:val="16"/>
                  <w:szCs w:val="16"/>
                  <w:rFonts w:ascii="Calibri" w:hAnsi="Calibri" w:eastAsia="Hiragino Sans GB"/>
                </w:rPr>
                <w:t>2026-07-19 — 半导体设备估值溢价与AI算力订单的匹配度压力测试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30">
              <w:r>
                <w:rPr>
                  <w:color w:val="1D5FD1"/>
                  <w:u w:val="single"/>
                  <w:b/>
                  <w:sz w:val="16"/>
                  <w:szCs w:val="16"/>
                  <w:rFonts w:ascii="Calibri" w:hAnsi="Calibri" w:eastAsia="Hiragino Sans GB"/>
                </w:rPr>
                <w:t>银行净息差与分红压力测试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31">
              <w:r>
                <w:rPr>
                  <w:color w:val="1D5FD1"/>
                  <w:u w:val="single"/>
                  <w:b/>
                  <w:sz w:val="16"/>
                  <w:szCs w:val="16"/>
                  <w:rFonts w:ascii="Calibri" w:hAnsi="Calibri" w:eastAsia="Hiragino Sans GB"/>
                </w:rPr>
                <w:t>2026-07-19 A股两融去杠杆：宏观流动性指标的非系统性验证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32">
              <w:r>
                <w:rPr>
                  <w:color w:val="1D5FD1"/>
                  <w:u w:val="single"/>
                  <w:b/>
                  <w:sz w:val="16"/>
                  <w:szCs w:val="16"/>
                  <w:rFonts w:ascii="Calibri" w:hAnsi="Calibri" w:eastAsia="Hiragino Sans GB"/>
                </w:rPr>
                <w:t>6月CPI的"意外降温"是油价退款，不是通胀拐点</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33">
              <w:r>
                <w:rPr>
                  <w:color w:val="1D5FD1"/>
                  <w:u w:val="single"/>
                  <w:b/>
                  <w:sz w:val="16"/>
                  <w:szCs w:val="16"/>
                  <w:rFonts w:ascii="Calibri" w:hAnsi="Calibri" w:eastAsia="Hiragino Sans GB"/>
                </w:rPr>
                <w:t>A股硬科技板块两融杠杆出清进度与筹码结构压力演变评估报告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34">
              <w:r>
                <w:rPr>
                  <w:color w:val="1D5FD1"/>
                  <w:u w:val="single"/>
                  <w:b/>
                  <w:sz w:val="16"/>
                  <w:szCs w:val="16"/>
                  <w:rFonts w:ascii="Calibri" w:hAnsi="Calibri" w:eastAsia="Hiragino Sans GB"/>
                </w:rPr>
                <w:t>全球宏观研究报告 (Week of 2026-07-13 → 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35">
              <w:r>
                <w:rPr>
                  <w:color w:val="1D5FD1"/>
                  <w:u w:val="single"/>
                  <w:b/>
                  <w:sz w:val="16"/>
                  <w:szCs w:val="16"/>
                  <w:rFonts w:ascii="Calibri" w:hAnsi="Calibri" w:eastAsia="Hiragino Sans GB"/>
                </w:rPr>
                <w:t>纺织服装产业链：覆盖率洼地，正好压在关税日历上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80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36">
              <w:r>
                <w:rPr>
                  <w:color w:val="1D5FD1"/>
                  <w:u w:val="single"/>
                  <w:b/>
                  <w:sz w:val="16"/>
                  <w:szCs w:val="16"/>
                  <w:rFonts w:ascii="Calibri" w:hAnsi="Calibri" w:eastAsia="Hiragino Sans GB"/>
                </w:rPr>
                <w:t>2026-07-19 德明利限售股解禁后的两融强平阈值及风险传导路径测算</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bl>
    <w:p>
      <w:pPr>
        <w:pStyle w:val="TableCitation"/>
      </w:pPr>
      <w:r>
        <w:t>来源账本来自同一周度发布合约；未引入私有运行记录、密钥或内部提示。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Hiragino Sans GB"/>
        <w:b/>
        <w:color w:val="5E6268"/>
        <w:sz w:val="17"/>
      </w:rPr>
      <w:t xml:space="preserve">ADMIN RESEARCH PUBLICATION  ·  </w:t>
    </w:r>
    <w:r>
      <w:rPr>
        <w:rFonts w:ascii="Calibri" w:hAnsi="Calibri" w:eastAsia="Hiragino Sans GB"/>
        <w:color w:val="5E626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Hiragino Sans GB"/>
        <w:b/>
        <w:color w:val="5E6268"/>
        <w:sz w:val="17"/>
      </w:rPr>
      <w:t>AI INSTITUTE  /  WEEKLY RESEARCH  /  2026-W30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4" w:lineRule="auto"/>
    </w:pPr>
    <w:rPr>
      <w:rFonts w:ascii="Calibri" w:hAnsi="Calibri" w:eastAsia="Hiragino Sans GB"/>
      <w:b w:val="0"/>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Hiragino Sans GB"/>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Hiragino Sans GB"/>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Hiragino Sans GB"/>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keepNext w:val="0"/>
      <w:spacing w:before="80" w:after="80" w:line="240" w:lineRule="auto"/>
    </w:pPr>
    <w:rPr>
      <w:rFonts w:ascii="Calibri" w:hAnsi="Calibri" w:eastAsia="Hiragino Sans GB"/>
      <w:b w:val="0"/>
      <w:color w:val="5E6268"/>
      <w:sz w:val="17"/>
    </w:rPr>
  </w:style>
  <w:style w:type="paragraph" w:customStyle="1" w:styleId="SectionLabel">
    <w:name w:val="Section Label"/>
    <w:pPr>
      <w:keepNext/>
      <w:spacing w:before="0" w:after="80" w:line="240" w:lineRule="auto"/>
    </w:pPr>
    <w:rPr>
      <w:rFonts w:ascii="Calibri" w:hAnsi="Calibri" w:eastAsia="Hiragino Sans GB"/>
      <w:b/>
      <w:color w:val="1D5FD1"/>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ibe-alpha-three.vercel.app/investor/panorama/2026-W30/" TargetMode="External"/><Relationship Id="rId12" Type="http://schemas.openxmlformats.org/officeDocument/2006/relationships/hyperlink" Target="https://vibe-alpha-three.vercel.app/investor/lanes/ai-compute-semiconductors/" TargetMode="External"/><Relationship Id="rId13" Type="http://schemas.openxmlformats.org/officeDocument/2006/relationships/hyperlink" Target="https://vibe-alpha-three.vercel.app/investor/lanes/a-share-dividend-and-hard-tech-barbell/" TargetMode="External"/><Relationship Id="rId14" Type="http://schemas.openxmlformats.org/officeDocument/2006/relationships/hyperlink" Target="https://vibe-alpha-three.vercel.app/investor/lanes/ai-reflation-and-rate-sensitive-assets/" TargetMode="External"/><Relationship Id="rId15" Type="http://schemas.openxmlformats.org/officeDocument/2006/relationships/hyperlink" Target="https://vibe-alpha-three.vercel.app/investor/lanes/mag7-ai-platform-re-layering/" TargetMode="External"/><Relationship Id="rId16" Type="http://schemas.openxmlformats.org/officeDocument/2006/relationships/hyperlink" Target="https://vibe-alpha-three.vercel.app/investor/lanes/us-rates-and-dollar-repricing/" TargetMode="External"/><Relationship Id="rId17" Type="http://schemas.openxmlformats.org/officeDocument/2006/relationships/hyperlink" Target="https://vibe-alpha-three.vercel.app/investor/reports/archive-e3b11ed1d035/" TargetMode="External"/><Relationship Id="rId18" Type="http://schemas.openxmlformats.org/officeDocument/2006/relationships/hyperlink" Target="https://vibe-alpha-three.vercel.app/investor/reports/archive-4a46f4475284/" TargetMode="External"/><Relationship Id="rId19" Type="http://schemas.openxmlformats.org/officeDocument/2006/relationships/hyperlink" Target="https://vibe-alpha-three.vercel.app/investor/reports/archive-9e5d4b02dfd0/" TargetMode="External"/><Relationship Id="rId20" Type="http://schemas.openxmlformats.org/officeDocument/2006/relationships/hyperlink" Target="https://vibe-alpha-three.vercel.app/investor/theses/thesis-b976d8330e/" TargetMode="External"/><Relationship Id="rId21" Type="http://schemas.openxmlformats.org/officeDocument/2006/relationships/hyperlink" Target="https://vibe-alpha-three.vercel.app/investor/reports/archive-191e6aa1408e/" TargetMode="External"/><Relationship Id="rId22" Type="http://schemas.openxmlformats.org/officeDocument/2006/relationships/hyperlink" Target="https://vibe-alpha-three.vercel.app/investor/reports/archive-500b7aac565c/" TargetMode="External"/><Relationship Id="rId23" Type="http://schemas.openxmlformats.org/officeDocument/2006/relationships/hyperlink" Target="https://vibe-alpha-three.vercel.app/investor/reports/archive-34ccf8b2d93d/" TargetMode="External"/><Relationship Id="rId24" Type="http://schemas.openxmlformats.org/officeDocument/2006/relationships/hyperlink" Target="https://vibe-alpha-three.vercel.app/investor/theses/thesis-70daf87262/" TargetMode="External"/><Relationship Id="rId25" Type="http://schemas.openxmlformats.org/officeDocument/2006/relationships/hyperlink" Target="https://vibe-alpha-three.vercel.app/investor/reports/archive-047daba6b595/" TargetMode="External"/><Relationship Id="rId26" Type="http://schemas.openxmlformats.org/officeDocument/2006/relationships/hyperlink" Target="https://vibe-alpha-three.vercel.app/investor/reports/archive-2bf9c193d964/" TargetMode="External"/><Relationship Id="rId27" Type="http://schemas.openxmlformats.org/officeDocument/2006/relationships/hyperlink" Target="https://vibe-alpha-three.vercel.app/investor/theses/thesis-075017003b/" TargetMode="External"/><Relationship Id="rId28" Type="http://schemas.openxmlformats.org/officeDocument/2006/relationships/hyperlink" Target="https://vibe-alpha-three.vercel.app/investor/reports/archive-02297771d268/" TargetMode="External"/><Relationship Id="rId29" Type="http://schemas.openxmlformats.org/officeDocument/2006/relationships/hyperlink" Target="https://vibe-alpha-three.vercel.app/investor/reports/archive-f7938bd36e0d/" TargetMode="External"/><Relationship Id="rId30" Type="http://schemas.openxmlformats.org/officeDocument/2006/relationships/hyperlink" Target="https://vibe-alpha-three.vercel.app/investor/theses/thesis-8c5a9690a0/" TargetMode="External"/><Relationship Id="rId31" Type="http://schemas.openxmlformats.org/officeDocument/2006/relationships/hyperlink" Target="https://vibe-alpha-three.vercel.app/investor/reports/archive-cb4652757998/" TargetMode="External"/><Relationship Id="rId32" Type="http://schemas.openxmlformats.org/officeDocument/2006/relationships/hyperlink" Target="https://vibe-alpha-three.vercel.app/investor/reports/archive-53db7912ab14/" TargetMode="External"/><Relationship Id="rId33" Type="http://schemas.openxmlformats.org/officeDocument/2006/relationships/hyperlink" Target="https://vibe-alpha-three.vercel.app/investor/reports/archive-d94e8e616838/" TargetMode="External"/><Relationship Id="rId34" Type="http://schemas.openxmlformats.org/officeDocument/2006/relationships/hyperlink" Target="https://vibe-alpha-three.vercel.app/investor/theses/thesis-a803fa3312/" TargetMode="External"/><Relationship Id="rId35" Type="http://schemas.openxmlformats.org/officeDocument/2006/relationships/hyperlink" Target="https://vibe-alpha-three.vercel.app/investor/stocks/510880.SH/" TargetMode="External"/><Relationship Id="rId36" Type="http://schemas.openxmlformats.org/officeDocument/2006/relationships/hyperlink" Target="https://vibe-alpha-three.vercel.app/investor/stocks/600900.SH/" TargetMode="External"/><Relationship Id="rId37" Type="http://schemas.openxmlformats.org/officeDocument/2006/relationships/hyperlink" Target="https://vibe-alpha-three.vercel.app/investor/stocks/601398.SH/" TargetMode="External"/><Relationship Id="rId38" Type="http://schemas.openxmlformats.org/officeDocument/2006/relationships/hyperlink" Target="https://vibe-alpha-three.vercel.app/investor/stocks/588000.SH/" TargetMode="External"/><Relationship Id="rId39" Type="http://schemas.openxmlformats.org/officeDocument/2006/relationships/hyperlink" Target="https://vibe-alpha-three.vercel.app/investor/stocks/688981.SH/" TargetMode="External"/><Relationship Id="rId40" Type="http://schemas.openxmlformats.org/officeDocument/2006/relationships/hyperlink" Target="https://vibe-alpha-three.vercel.app/investor/stocks/XLU/" TargetMode="External"/><Relationship Id="rId41" Type="http://schemas.openxmlformats.org/officeDocument/2006/relationships/hyperlink" Target="https://vibe-alpha-three.vercel.app/investor/stocks/GEV/" TargetMode="External"/><Relationship Id="rId42" Type="http://schemas.openxmlformats.org/officeDocument/2006/relationships/hyperlink" Target="https://vibe-alpha-three.vercel.app/investor/stocks/ETN/" TargetMode="External"/><Relationship Id="rId43" Type="http://schemas.openxmlformats.org/officeDocument/2006/relationships/hyperlink" Target="https://vibe-alpha-three.vercel.app/investor/stocks/CEG/" TargetMode="External"/><Relationship Id="rId44" Type="http://schemas.openxmlformats.org/officeDocument/2006/relationships/hyperlink" Target="https://vibe-alpha-three.vercel.app/investor/stocks/VST/" TargetMode="External"/><Relationship Id="rId45" Type="http://schemas.openxmlformats.org/officeDocument/2006/relationships/hyperlink" Target="https://vibe-alpha-three.vercel.app/investor/stocks/NVDA/" TargetMode="External"/><Relationship Id="rId46" Type="http://schemas.openxmlformats.org/officeDocument/2006/relationships/hyperlink" Target="https://vibe-alpha-three.vercel.app/investor/stocks/TSM/" TargetMode="External"/><Relationship Id="rId47" Type="http://schemas.openxmlformats.org/officeDocument/2006/relationships/hyperlink" Target="https://vibe-alpha-three.vercel.app/investor/stocks/MU/" TargetMode="External"/><Relationship Id="rId48" Type="http://schemas.openxmlformats.org/officeDocument/2006/relationships/hyperlink" Target="https://vibe-alpha-three.vercel.app/investor/stocks/000660.KS/" TargetMode="External"/><Relationship Id="rId49" Type="http://schemas.openxmlformats.org/officeDocument/2006/relationships/hyperlink" Target="https://vibe-alpha-three.vercel.app/investor/stocks/AMD/" TargetMode="External"/><Relationship Id="rId50" Type="http://schemas.openxmlformats.org/officeDocument/2006/relationships/hyperlink" Target="https://vibe-alpha-three.vercel.app/investor/stocks/AVGO/" TargetMode="External"/><Relationship Id="rId51" Type="http://schemas.openxmlformats.org/officeDocument/2006/relationships/hyperlink" Target="https://vibe-alpha-three.vercel.app/investor/stocks/META/" TargetMode="External"/><Relationship Id="rId52" Type="http://schemas.openxmlformats.org/officeDocument/2006/relationships/hyperlink" Target="https://vibe-alpha-three.vercel.app/investor/stocks/MSFT/" TargetMode="External"/><Relationship Id="rId53" Type="http://schemas.openxmlformats.org/officeDocument/2006/relationships/hyperlink" Target="https://vibe-alpha-three.vercel.app/investor/stocks/AMZN/" TargetMode="External"/><Relationship Id="rId54" Type="http://schemas.openxmlformats.org/officeDocument/2006/relationships/hyperlink" Target="https://vibe-alpha-three.vercel.app/investor/stocks/GOOGL/" TargetMode="External"/><Relationship Id="rId55" Type="http://schemas.openxmlformats.org/officeDocument/2006/relationships/hyperlink" Target="https://vibe-alpha-three.vercel.app/investor/stocks/TLT/" TargetMode="External"/><Relationship Id="rId56" Type="http://schemas.openxmlformats.org/officeDocument/2006/relationships/hyperlink" Target="https://vibe-alpha-three.vercel.app/investor/stocks/IEF/" TargetMode="External"/><Relationship Id="rId57" Type="http://schemas.openxmlformats.org/officeDocument/2006/relationships/hyperlink" Target="https://vibe-alpha-three.vercel.app/investor/stocks/UUP/" TargetMode="External"/><Relationship Id="rId58" Type="http://schemas.openxmlformats.org/officeDocument/2006/relationships/hyperlink" Target="https://vibe-alpha-three.vercel.app/investor/stocks/GLD/" TargetMode="External"/><Relationship Id="rId59" Type="http://schemas.openxmlformats.org/officeDocument/2006/relationships/hyperlink" Target="https://vibe-alpha-three.vercel.app/investor/stocks/FXY/" TargetMode="External"/><Relationship Id="rId60" Type="http://schemas.openxmlformats.org/officeDocument/2006/relationships/hyperlink" Target="https://vibe-alpha-three.vercel.app/investor/lanes/ai-power-and-grid-equipment/" TargetMode="External"/><Relationship Id="rId61" Type="http://schemas.openxmlformats.org/officeDocument/2006/relationships/hyperlink" Target="https://vibe-alpha-three.vercel.app/investor/lanes/a-share-semiconductor-margin-and-negative-gamma/" TargetMode="External"/><Relationship Id="rId62" Type="http://schemas.openxmlformats.org/officeDocument/2006/relationships/hyperlink" Target="https://vibe-alpha-three.vercel.app/investor/lanes/a-share-risk-appetite-and-margin/" TargetMode="External"/><Relationship Id="rId63" Type="http://schemas.openxmlformats.org/officeDocument/2006/relationships/hyperlink" Target="https://vibe-alpha-three.vercel.app/investor/lanes/advanced-packaging-and-hbm4-gate/" TargetMode="External"/><Relationship Id="rId64" Type="http://schemas.openxmlformats.org/officeDocument/2006/relationships/hyperlink" Target="https://vibe-alpha-three.vercel.app/investor/lanes/oil-gas-and-geopolitical-inflation/" TargetMode="External"/><Relationship Id="rId65" Type="http://schemas.openxmlformats.org/officeDocument/2006/relationships/hyperlink" Target="https://vibe-alpha-three.vercel.app/investor/lanes/a-share-hard-tech-and-star50/" TargetMode="External"/><Relationship Id="rId66" Type="http://schemas.openxmlformats.org/officeDocument/2006/relationships/hyperlink" Target="https://vibe-alpha-three.vercel.app/investor/lanes/yen-carry-and-em-tech-liquidity/" TargetMode="External"/><Relationship Id="rId67" Type="http://schemas.openxmlformats.org/officeDocument/2006/relationships/hyperlink" Target="https://vibe-alpha-three.vercel.app/investor/lanes/food-processing-and-input-cost-transmission/" TargetMode="External"/><Relationship Id="rId68" Type="http://schemas.openxmlformats.org/officeDocument/2006/relationships/hyperlink" Target="https://vibe-alpha-three.vercel.app/investor/lanes/china-healthcare-and-overseas-innovation-drug-monetization/" TargetMode="External"/><Relationship Id="rId69" Type="http://schemas.openxmlformats.org/officeDocument/2006/relationships/hyperlink" Target="https://vibe-alpha-three.vercel.app/investor/lanes/utilities-grid-rate-base-and-credit/" TargetMode="External"/><Relationship Id="rId70" Type="http://schemas.openxmlformats.org/officeDocument/2006/relationships/hyperlink" Target="https://vibe-alpha-three.vercel.app/investor/reports/archive-5e3b1a3f6a15/" TargetMode="External"/><Relationship Id="rId71" Type="http://schemas.openxmlformats.org/officeDocument/2006/relationships/hyperlink" Target="https://vibe-alpha-three.vercel.app/investor/reports/archive-731b324da879/" TargetMode="External"/><Relationship Id="rId72" Type="http://schemas.openxmlformats.org/officeDocument/2006/relationships/hyperlink" Target="https://vibe-alpha-three.vercel.app/investor/reports/archive-fa3192089abb/" TargetMode="External"/><Relationship Id="rId73" Type="http://schemas.openxmlformats.org/officeDocument/2006/relationships/hyperlink" Target="https://vibe-alpha-three.vercel.app/investor/reports/archive-50914eba58ab/" TargetMode="External"/><Relationship Id="rId74" Type="http://schemas.openxmlformats.org/officeDocument/2006/relationships/hyperlink" Target="https://vibe-alpha-three.vercel.app/investor/reports/reader-daily-reader-2026-07-20/" TargetMode="External"/><Relationship Id="rId75" Type="http://schemas.openxmlformats.org/officeDocument/2006/relationships/hyperlink" Target="https://vibe-alpha-three.vercel.app/investor/reports/archive-d887267486ce/" TargetMode="External"/><Relationship Id="rId76" Type="http://schemas.openxmlformats.org/officeDocument/2006/relationships/hyperlink" Target="https://vibe-alpha-three.vercel.app/investor/reports/archive-0d08c40fa890/" TargetMode="External"/><Relationship Id="rId77" Type="http://schemas.openxmlformats.org/officeDocument/2006/relationships/hyperlink" Target="https://vibe-alpha-three.vercel.app/investor/reports/archive-cd2d644dbc70/" TargetMode="External"/><Relationship Id="rId78" Type="http://schemas.openxmlformats.org/officeDocument/2006/relationships/hyperlink" Target="https://vibe-alpha-three.vercel.app/investor/reports/archive-da916f96346f/" TargetMode="External"/><Relationship Id="rId79" Type="http://schemas.openxmlformats.org/officeDocument/2006/relationships/hyperlink" Target="https://vibe-alpha-three.vercel.app/investor/reports/archive-397c92bd74a5/" TargetMode="External"/><Relationship Id="rId80" Type="http://schemas.openxmlformats.org/officeDocument/2006/relationships/hyperlink" Target="https://vibe-alpha-three.vercel.app/investor/reports/archive-432f86f682ac/" TargetMode="External"/><Relationship Id="rId81" Type="http://schemas.openxmlformats.org/officeDocument/2006/relationships/hyperlink" Target="https://vibe-alpha-three.vercel.app/investor/reports/archive-b3ce7ac41973/" TargetMode="External"/><Relationship Id="rId82" Type="http://schemas.openxmlformats.org/officeDocument/2006/relationships/hyperlink" Target="https://vibe-alpha-three.vercel.app/investor/reports/archive-c7fb4f8539e1/" TargetMode="External"/><Relationship Id="rId83" Type="http://schemas.openxmlformats.org/officeDocument/2006/relationships/hyperlink" Target="https://vibe-alpha-three.vercel.app/investor/reports/archive-24529a381750/" TargetMode="External"/><Relationship Id="rId84" Type="http://schemas.openxmlformats.org/officeDocument/2006/relationships/hyperlink" Target="https://vibe-alpha-three.vercel.app/investor/reports/archive-f0b476a8bcc0/" TargetMode="External"/><Relationship Id="rId85" Type="http://schemas.openxmlformats.org/officeDocument/2006/relationships/hyperlink" Target="https://vibe-alpha-three.vercel.app/investor/reports/archive-26b063cbcb93/" TargetMode="External"/><Relationship Id="rId86" Type="http://schemas.openxmlformats.org/officeDocument/2006/relationships/hyperlink" Target="https://vibe-alpha-three.vercel.app/investor/reports/archive-c88b08aefeeb/" TargetMode="External"/><Relationship Id="rId87" Type="http://schemas.openxmlformats.org/officeDocument/2006/relationships/hyperlink" Target="https://vibe-alpha-three.vercel.app/investor/reports/archive-5adf18677120/" TargetMode="External"/><Relationship Id="rId88" Type="http://schemas.openxmlformats.org/officeDocument/2006/relationships/hyperlink" Target="https://vibe-alpha-three.vercel.app/investor/reports/archive-220e9e773378/" TargetMode="External"/><Relationship Id="rId89" Type="http://schemas.openxmlformats.org/officeDocument/2006/relationships/hyperlink" Target="https://vibe-alpha-three.vercel.app/investor/reports/archive-3c31184bcf1b/" TargetMode="External"/><Relationship Id="rId90" Type="http://schemas.openxmlformats.org/officeDocument/2006/relationships/hyperlink" Target="https://vibe-alpha-three.vercel.app/investor/reports/archive-ca77c6a84536/" TargetMode="External"/><Relationship Id="rId91" Type="http://schemas.openxmlformats.org/officeDocument/2006/relationships/hyperlink" Target="https://vibe-alpha-three.vercel.app/investor/reports/archive-9701e2020f52/" TargetMode="External"/><Relationship Id="rId92" Type="http://schemas.openxmlformats.org/officeDocument/2006/relationships/hyperlink" Target="https://vibe-alpha-three.vercel.app/investor/reports/archive-889d45e2ac13/" TargetMode="External"/><Relationship Id="rId93" Type="http://schemas.openxmlformats.org/officeDocument/2006/relationships/hyperlink" Target="https://vibe-alpha-three.vercel.app/investor/reports/archive-604a46b963e5/" TargetMode="External"/><Relationship Id="rId94" Type="http://schemas.openxmlformats.org/officeDocument/2006/relationships/hyperlink" Target="https://vibe-alpha-three.vercel.app/investor/reports/archive-33bacab2066d/" TargetMode="External"/><Relationship Id="rId95" Type="http://schemas.openxmlformats.org/officeDocument/2006/relationships/hyperlink" Target="https://vibe-alpha-three.vercel.app/investor/reports/archive-d524f2d090e4/" TargetMode="External"/><Relationship Id="rId96" Type="http://schemas.openxmlformats.org/officeDocument/2006/relationships/hyperlink" Target="https://vibe-alpha-three.vercel.app/investor/reports/archive-4cd480ba3495/" TargetMode="External"/><Relationship Id="rId97" Type="http://schemas.openxmlformats.org/officeDocument/2006/relationships/hyperlink" Target="https://vibe-alpha-three.vercel.app/investor/reports/archive-edc00b81efe2/" TargetMode="External"/><Relationship Id="rId98" Type="http://schemas.openxmlformats.org/officeDocument/2006/relationships/hyperlink" Target="https://vibe-alpha-three.vercel.app/investor/reports/archive-820e62557b1a/" TargetMode="External"/><Relationship Id="rId99" Type="http://schemas.openxmlformats.org/officeDocument/2006/relationships/hyperlink" Target="https://vibe-alpha-three.vercel.app/investor/reports/archive-cfd56fe808e5/" TargetMode="External"/><Relationship Id="rId100" Type="http://schemas.openxmlformats.org/officeDocument/2006/relationships/hyperlink" Target="https://vibe-alpha-three.vercel.app/investor/reports/archive-3020b9ab3b18/" TargetMode="External"/><Relationship Id="rId101" Type="http://schemas.openxmlformats.org/officeDocument/2006/relationships/hyperlink" Target="https://vibe-alpha-three.vercel.app/investor/reports/archive-cd4189704283/" TargetMode="External"/><Relationship Id="rId102" Type="http://schemas.openxmlformats.org/officeDocument/2006/relationships/hyperlink" Target="https://vibe-alpha-three.vercel.app/investor/reports/archive-7d4f42a16a7c/" TargetMode="External"/><Relationship Id="rId103" Type="http://schemas.openxmlformats.org/officeDocument/2006/relationships/hyperlink" Target="https://vibe-alpha-three.vercel.app/investor/reports/archive-582e84b79825/" TargetMode="External"/><Relationship Id="rId104" Type="http://schemas.openxmlformats.org/officeDocument/2006/relationships/hyperlink" Target="https://vibe-alpha-three.vercel.app/investor/reports/archive-eb0f37ee0496/" TargetMode="External"/><Relationship Id="rId105" Type="http://schemas.openxmlformats.org/officeDocument/2006/relationships/hyperlink" Target="https://vibe-alpha-three.vercel.app/investor/reports/archive-5a931717d970/" TargetMode="External"/><Relationship Id="rId106" Type="http://schemas.openxmlformats.org/officeDocument/2006/relationships/hyperlink" Target="https://vibe-alpha-three.vercel.app/investor/reports/archive-a6aa72aa3920/" TargetMode="External"/><Relationship Id="rId107" Type="http://schemas.openxmlformats.org/officeDocument/2006/relationships/hyperlink" Target="https://vibe-alpha-three.vercel.app/investor/reports/archive-6b8719775081/" TargetMode="External"/><Relationship Id="rId108" Type="http://schemas.openxmlformats.org/officeDocument/2006/relationships/hyperlink" Target="https://vibe-alpha-three.vercel.app/investor/reports/archive-2b61f5360781/" TargetMode="External"/><Relationship Id="rId109" Type="http://schemas.openxmlformats.org/officeDocument/2006/relationships/hyperlink" Target="https://vibe-alpha-three.vercel.app/investor/reports/archive-bd708fbe5d57/" TargetMode="External"/><Relationship Id="rId110" Type="http://schemas.openxmlformats.org/officeDocument/2006/relationships/hyperlink" Target="https://vibe-alpha-three.vercel.app/investor/reports/archive-05921e2b63cb/" TargetMode="External"/><Relationship Id="rId111" Type="http://schemas.openxmlformats.org/officeDocument/2006/relationships/hyperlink" Target="https://vibe-alpha-three.vercel.app/investor/reports/archive-10a9dd6f2658/" TargetMode="External"/><Relationship Id="rId112" Type="http://schemas.openxmlformats.org/officeDocument/2006/relationships/hyperlink" Target="https://vibe-alpha-three.vercel.app/investor/reports/archive-4de4c620fc82/" TargetMode="External"/><Relationship Id="rId113" Type="http://schemas.openxmlformats.org/officeDocument/2006/relationships/hyperlink" Target="https://vibe-alpha-three.vercel.app/investor/reports/archive-ea6b228d8e83/" TargetMode="External"/><Relationship Id="rId114" Type="http://schemas.openxmlformats.org/officeDocument/2006/relationships/hyperlink" Target="https://vibe-alpha-three.vercel.app/investor/reports/archive-875dada5c5c0/" TargetMode="External"/><Relationship Id="rId115" Type="http://schemas.openxmlformats.org/officeDocument/2006/relationships/hyperlink" Target="https://vibe-alpha-three.vercel.app/investor/reports/archive-e75f11f34a4f/" TargetMode="External"/><Relationship Id="rId116" Type="http://schemas.openxmlformats.org/officeDocument/2006/relationships/hyperlink" Target="https://vibe-alpha-three.vercel.app/investor/reports/archive-27b5e7c3f5c3/" TargetMode="External"/><Relationship Id="rId117" Type="http://schemas.openxmlformats.org/officeDocument/2006/relationships/hyperlink" Target="https://vibe-alpha-three.vercel.app/investor/reports/archive-a51d3363133f/" TargetMode="External"/><Relationship Id="rId118" Type="http://schemas.openxmlformats.org/officeDocument/2006/relationships/hyperlink" Target="https://vibe-alpha-three.vercel.app/investor/reports/archive-310947ec776c/" TargetMode="External"/><Relationship Id="rId119" Type="http://schemas.openxmlformats.org/officeDocument/2006/relationships/hyperlink" Target="https://vibe-alpha-three.vercel.app/investor/reports/archive-f2a629dc27cf/" TargetMode="External"/><Relationship Id="rId120" Type="http://schemas.openxmlformats.org/officeDocument/2006/relationships/hyperlink" Target="https://vibe-alpha-three.vercel.app/investor/reports/archive-2073435f0268/" TargetMode="External"/><Relationship Id="rId121" Type="http://schemas.openxmlformats.org/officeDocument/2006/relationships/hyperlink" Target="https://vibe-alpha-three.vercel.app/investor/reports/archive-7253212371c0/" TargetMode="External"/><Relationship Id="rId122" Type="http://schemas.openxmlformats.org/officeDocument/2006/relationships/hyperlink" Target="https://vibe-alpha-three.vercel.app/investor/reports/archive-3be2922ee7c8/" TargetMode="External"/><Relationship Id="rId123" Type="http://schemas.openxmlformats.org/officeDocument/2006/relationships/hyperlink" Target="https://vibe-alpha-three.vercel.app/investor/reports/archive-f924db9b0ec8/" TargetMode="External"/><Relationship Id="rId124" Type="http://schemas.openxmlformats.org/officeDocument/2006/relationships/hyperlink" Target="https://vibe-alpha-three.vercel.app/investor/reports/archive-a60ab980ad14/" TargetMode="External"/><Relationship Id="rId125" Type="http://schemas.openxmlformats.org/officeDocument/2006/relationships/hyperlink" Target="https://vibe-alpha-three.vercel.app/investor/reports/archive-36f7757cd961/" TargetMode="External"/><Relationship Id="rId126" Type="http://schemas.openxmlformats.org/officeDocument/2006/relationships/hyperlink" Target="https://vibe-alpha-three.vercel.app/investor/reports/archive-a66326b30a39/" TargetMode="External"/><Relationship Id="rId127" Type="http://schemas.openxmlformats.org/officeDocument/2006/relationships/hyperlink" Target="https://vibe-alpha-three.vercel.app/investor/reports/archive-bf110f8e9ec4/" TargetMode="External"/><Relationship Id="rId128" Type="http://schemas.openxmlformats.org/officeDocument/2006/relationships/hyperlink" Target="https://vibe-alpha-three.vercel.app/investor/reports/archive-e6c8e28134c6/" TargetMode="External"/><Relationship Id="rId129" Type="http://schemas.openxmlformats.org/officeDocument/2006/relationships/hyperlink" Target="https://vibe-alpha-three.vercel.app/investor/reports/archive-80ee82ae854c/" TargetMode="External"/><Relationship Id="rId130" Type="http://schemas.openxmlformats.org/officeDocument/2006/relationships/hyperlink" Target="https://vibe-alpha-three.vercel.app/investor/reports/archive-2bbea3eef549/" TargetMode="External"/><Relationship Id="rId131" Type="http://schemas.openxmlformats.org/officeDocument/2006/relationships/hyperlink" Target="https://vibe-alpha-three.vercel.app/investor/reports/archive-397df7f93f61/" TargetMode="External"/><Relationship Id="rId132" Type="http://schemas.openxmlformats.org/officeDocument/2006/relationships/hyperlink" Target="https://vibe-alpha-three.vercel.app/investor/reports/archive-15142ddddb39/" TargetMode="External"/><Relationship Id="rId133" Type="http://schemas.openxmlformats.org/officeDocument/2006/relationships/hyperlink" Target="https://vibe-alpha-three.vercel.app/investor/reports/archive-a92be53b9c84/" TargetMode="External"/><Relationship Id="rId134" Type="http://schemas.openxmlformats.org/officeDocument/2006/relationships/hyperlink" Target="https://vibe-alpha-three.vercel.app/investor/reports/archive-5dd59c68eb47/" TargetMode="External"/><Relationship Id="rId135" Type="http://schemas.openxmlformats.org/officeDocument/2006/relationships/hyperlink" Target="https://vibe-alpha-three.vercel.app/investor/reports/archive-425b02050668/" TargetMode="External"/><Relationship Id="rId136" Type="http://schemas.openxmlformats.org/officeDocument/2006/relationships/hyperlink" Target="https://vibe-alpha-three.vercel.app/investor/reports/archive-8ef27e9db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2026-W30 周报｜收紧 AI 集中风险，等待宏观与流动性确认</dc:title>
  <dc:subject>AI Institute weekly research report 2026-W30</dc:subject>
  <dc:creator>AI Institute</dc:creator>
  <cp:keywords>AI Institute, weekly research, investment research</cp:keywords>
  <dc:description>generated by python-docx</dc:description>
  <cp:lastModifiedBy/>
  <cp:revision>1</cp:revision>
  <dcterms:created xsi:type="dcterms:W3CDTF">2013-12-23T23:15:00Z</dcterms:created>
  <dcterms:modified xsi:type="dcterms:W3CDTF">2013-12-23T23:15:00Z</dcterms:modified>
  <cp:category/>
</cp:coreProperties>
</file>