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iragino Sans GB"/>
          <w:b/>
          <w:i w:val="0"/>
          <w:color w:val="285B9D"/>
          <w:sz w:val="20"/>
        </w:rPr>
        <w:t>AI Institute</w:t>
      </w:r>
    </w:p>
    <w:p>
      <w:pPr>
        <w:pStyle w:val="Title"/>
        <w:spacing w:before="0" w:after="80" w:line="264" w:lineRule="auto"/>
      </w:pPr>
      <w:r>
        <w:rPr>
          <w:rFonts w:ascii="Calibri" w:hAnsi="Calibri" w:eastAsia="Hiragino Sans GB"/>
          <w:b w:val="0"/>
          <w:i w:val="0"/>
        </w:rPr>
        <w:t>每日投资研究简报</w:t>
      </w:r>
    </w:p>
    <w:p>
      <w:pPr>
        <w:pStyle w:val="Subtitle"/>
        <w:spacing w:before="0" w:after="240" w:line="264" w:lineRule="auto"/>
      </w:pPr>
      <w:r>
        <w:rPr>
          <w:rFonts w:ascii="Calibri" w:hAnsi="Calibri" w:eastAsia="Hiragino Sans GB"/>
          <w:b w:val="0"/>
          <w:i w:val="0"/>
        </w:rPr>
        <w:t>2026-07-06 · webpage screenshot DOCX edition</w:t>
      </w:r>
    </w:p>
    <w:p>
      <w:pPr>
        <w:spacing w:before="0" w:after="160" w:line="264" w:lineRule="auto"/>
      </w:pPr>
      <w:r>
        <w:rPr>
          <w:rFonts w:ascii="Calibri" w:hAnsi="Calibri" w:eastAsia="Hiragino Sans GB"/>
          <w:b/>
          <w:i w:val="0"/>
          <w:color w:val="0B2545"/>
          <w:sz w:val="34"/>
        </w:rPr>
        <w:t>宏观通胀传导仍是今日主线，AI 基础设施提供第二层验证。</w:t>
      </w:r>
    </w:p>
    <w:p>
      <w:pPr>
        <w:spacing w:before="0" w:after="240" w:line="264" w:lineRule="auto"/>
      </w:pPr>
      <w:r>
        <w:rPr>
          <w:rFonts w:ascii="Calibri" w:hAnsi="Calibri" w:eastAsia="Hiragino Sans GB"/>
          <w:b w:val="0"/>
          <w:i w:val="0"/>
          <w:color w:val="334155"/>
          <w:sz w:val="22"/>
        </w:rPr>
        <w:t>2026-07-06 共纳入 230 篇中文研究结果，覆盖 0 位活跃分析师和 5 条主要行业链，较 2026-07-05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iragino Sans GB"/>
                <w:b/>
                <w:color w:val="667085"/>
                <w:sz w:val="17"/>
              </w:rPr>
              <w:t>今日报告</w:t>
              <w:br/>
            </w:r>
            <w:r>
              <w:rPr>
                <w:rFonts w:ascii="Calibri" w:hAnsi="Calibri" w:eastAsia="Hiragino Sans GB"/>
                <w:b/>
                <w:color w:val="285B9D"/>
                <w:sz w:val="36"/>
              </w:rPr>
              <w:t>230</w:t>
            </w:r>
          </w:p>
        </w:tc>
        <w:tc>
          <w:tcPr>
            <w:tcW w:type="dxa" w:w="2340"/>
            <w:vAlign w:val="center"/>
            <w:shd w:fill="F8FAFC"/>
          </w:tcPr>
          <w:p>
            <w:pPr>
              <w:spacing w:after="40"/>
            </w:pPr>
            <w:r>
              <w:rPr>
                <w:rFonts w:ascii="Calibri" w:hAnsi="Calibri" w:eastAsia="Hiragino Sans GB"/>
                <w:b/>
                <w:color w:val="667085"/>
                <w:sz w:val="17"/>
              </w:rPr>
              <w:t>活跃分析师</w:t>
              <w:br/>
            </w:r>
            <w:r>
              <w:rPr>
                <w:rFonts w:ascii="Calibri" w:hAnsi="Calibri" w:eastAsia="Hiragino Sans GB"/>
                <w:b/>
                <w:color w:val="237A5B"/>
                <w:sz w:val="36"/>
              </w:rPr>
              <w:t>0</w:t>
            </w:r>
          </w:p>
        </w:tc>
        <w:tc>
          <w:tcPr>
            <w:tcW w:type="dxa" w:w="2340"/>
            <w:vAlign w:val="center"/>
            <w:shd w:fill="F8FAFC"/>
          </w:tcPr>
          <w:p>
            <w:pPr>
              <w:spacing w:after="40"/>
            </w:pPr>
            <w:r>
              <w:rPr>
                <w:rFonts w:ascii="Calibri" w:hAnsi="Calibri" w:eastAsia="Hiragino Sans GB"/>
                <w:b/>
                <w:color w:val="667085"/>
                <w:sz w:val="17"/>
              </w:rPr>
              <w:t>活跃链条</w:t>
              <w:br/>
            </w:r>
            <w:r>
              <w:rPr>
                <w:rFonts w:ascii="Calibri" w:hAnsi="Calibri" w:eastAsia="Hiragino Sans GB"/>
                <w:b/>
                <w:color w:val="A8731B"/>
                <w:sz w:val="36"/>
              </w:rPr>
              <w:t>5</w:t>
            </w:r>
          </w:p>
        </w:tc>
        <w:tc>
          <w:tcPr>
            <w:tcW w:type="dxa" w:w="2340"/>
            <w:vAlign w:val="center"/>
            <w:shd w:fill="F8FAFC"/>
          </w:tcPr>
          <w:p>
            <w:pPr>
              <w:spacing w:after="40"/>
            </w:pPr>
            <w:r>
              <w:rPr>
                <w:rFonts w:ascii="Calibri" w:hAnsi="Calibri" w:eastAsia="Hiragino Sans GB"/>
                <w:b/>
                <w:color w:val="667085"/>
                <w:sz w:val="17"/>
              </w:rPr>
              <w:t>风险信号</w:t>
              <w:br/>
            </w:r>
            <w:r>
              <w:rPr>
                <w:rFonts w:ascii="Calibri" w:hAnsi="Calibri" w:eastAsia="Hiragino Sans GB"/>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7-06-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iragino Sans GB"/>
          <w:b/>
          <w:color w:val="285B9D"/>
          <w:sz w:val="21"/>
        </w:rPr>
        <w:t xml:space="preserve">主线判断: </w:t>
      </w:r>
      <w:hyperlink r:id="rId12">
        <w:r>
          <w:rPr>
            <w:color w:val="285B9D"/>
            <w:u w:val="single"/>
            <w:rFonts w:eastAsia="Hiragino Sans GB" w:ascii="Calibri" w:hAnsi="Calibri"/>
          </w:rPr>
          <w:t>中国电网设备与液冷温控供应链产能瓶颈及交付周期分析 是今日最高权重结论，核心证据来自 未识别，关联 工业供给瓶颈。</w:t>
        </w:r>
      </w:hyperlink>
    </w:p>
    <w:p>
      <w:pPr>
        <w:spacing w:after="140"/>
        <w:ind w:left="259" w:hanging="259"/>
      </w:pPr>
      <w:r>
        <w:rPr>
          <w:rFonts w:ascii="Calibri" w:hAnsi="Calibri" w:eastAsia="Hiragino Sans GB"/>
          <w:b/>
          <w:color w:val="285B9D"/>
          <w:sz w:val="21"/>
        </w:rPr>
        <w:t xml:space="preserve">变化信号: </w:t>
      </w:r>
      <w:r>
        <w:rPr>
          <w:rFonts w:ascii="Calibri" w:hAnsi="Calibri" w:eastAsia="Hiragino Sans GB"/>
          <w:color w:val="111827"/>
          <w:sz w:val="21"/>
        </w:rPr>
        <w:t>港美股 今日 降温，当日计数 47，前一日计数 70。</w:t>
      </w:r>
    </w:p>
    <w:p>
      <w:pPr>
        <w:spacing w:after="140"/>
        <w:ind w:left="259" w:hanging="259"/>
      </w:pPr>
      <w:r>
        <w:rPr>
          <w:rFonts w:ascii="Calibri" w:hAnsi="Calibri" w:eastAsia="Hiragino Sans GB"/>
          <w:b/>
          <w:color w:val="285B9D"/>
          <w:sz w:val="21"/>
        </w:rPr>
        <w:t xml:space="preserve">风险焦点: </w:t>
      </w:r>
      <w:hyperlink r:id="rId13">
        <w:r>
          <w:rPr>
            <w:color w:val="285B9D"/>
            <w:u w:val="single"/>
            <w:rFonts w:eastAsia="Hiragino Sans GB" w:ascii="Calibri" w:hAnsi="Calibri"/>
          </w:rPr>
          <w:t>风险矩阵最需要跟踪的是 工业供给瓶颈：研究门户共享研究会话（前序研究）— 2026-07-02。</w:t>
        </w:r>
      </w:hyperlink>
    </w:p>
    <w:p>
      <w:pPr>
        <w:spacing w:after="140"/>
        <w:ind w:left="259" w:hanging="259"/>
      </w:pPr>
      <w:r>
        <w:rPr>
          <w:rFonts w:ascii="Calibri" w:hAnsi="Calibri" w:eastAsia="Hiragino Sans GB"/>
          <w:b/>
          <w:color w:val="285B9D"/>
          <w:sz w:val="21"/>
        </w:rPr>
        <w:t xml:space="preserve">证据密度: </w:t>
      </w:r>
      <w:hyperlink r:id="rId14">
        <w:r>
          <w:rPr>
            <w:color w:val="285B9D"/>
            <w:u w:val="single"/>
            <w:rFonts w:eastAsia="Hiragino Sans GB" w:ascii="Calibri" w:hAnsi="Calibri"/>
          </w:rPr>
          <w:t>宏观通胀传导 今日 221 条、近七日 1159 条，风险信号 876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iragino Sans GB"/>
                <w:b/>
                <w:color w:val="7A5A00"/>
                <w:sz w:val="21"/>
              </w:rPr>
              <w:t xml:space="preserve">投资解读: </w:t>
            </w:r>
            <w:r>
              <w:rPr>
                <w:rFonts w:ascii="Calibri" w:hAnsi="Calibri" w:eastAsia="Hiragino Sans GB"/>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7-06-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7-06-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7-06-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7-06-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iragino Sans GB"/>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iragino Sans GB"/>
          <w:b/>
          <w:i w:val="0"/>
          <w:color w:val="0B2545"/>
          <w:sz w:val="23"/>
        </w:rPr>
        <w:t>1. 中国电网设备与液冷温控供应链产能瓶颈及交付周期分析</w:t>
      </w:r>
    </w:p>
    <w:p>
      <w:pPr>
        <w:spacing w:before="0" w:after="40" w:line="264" w:lineRule="auto"/>
      </w:pPr>
      <w:r>
        <w:rPr>
          <w:rFonts w:ascii="Calibri" w:hAnsi="Calibri" w:eastAsia="Hiragino Sans GB"/>
          <w:b w:val="0"/>
          <w:i w:val="0"/>
          <w:color w:val="667085"/>
          <w:sz w:val="17"/>
        </w:rPr>
        <w:t>未识别 · 工业供给瓶颈 · score 58.5</w:t>
      </w:r>
    </w:p>
    <w:p>
      <w:pPr>
        <w:spacing w:before="0" w:after="100" w:line="264" w:lineRule="auto"/>
      </w:pPr>
      <w:r>
        <w:rPr>
          <w:rFonts w:ascii="Calibri" w:hAnsi="Calibri" w:eastAsia="Hiragino Sans GB"/>
          <w:b w:val="0"/>
          <w:i w:val="0"/>
          <w:color w:val="334155"/>
          <w:sz w:val="20"/>
        </w:rPr>
        <w:t>研究记录 ID : research note - 作者 : 工业制造分析师 ( industrials-analyst ) - 立场 : 压力测试 (Stress-Test) - 锚定日期 : 2026-07-06</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reports/archive-710afaa90d12</w:t>
        </w:r>
      </w:hyperlink>
    </w:p>
    <w:p>
      <w:pPr>
        <w:spacing w:before="0" w:after="40" w:line="264" w:lineRule="auto"/>
      </w:pPr>
      <w:r>
        <w:rPr>
          <w:rFonts w:ascii="Calibri" w:hAnsi="Calibri" w:eastAsia="Hiragino Sans GB"/>
          <w:b/>
          <w:i w:val="0"/>
          <w:color w:val="0B2545"/>
          <w:sz w:val="23"/>
        </w:rPr>
        <w:t>2. AI 算力扩容与电网供给约束的适配性评估报告 - 2026-07-06</w:t>
      </w:r>
    </w:p>
    <w:p>
      <w:pPr>
        <w:spacing w:before="0" w:after="40" w:line="264" w:lineRule="auto"/>
      </w:pPr>
      <w:r>
        <w:rPr>
          <w:rFonts w:ascii="Calibri" w:hAnsi="Calibri" w:eastAsia="Hiragino Sans GB"/>
          <w:b w:val="0"/>
          <w:i w:val="0"/>
          <w:color w:val="667085"/>
          <w:sz w:val="17"/>
        </w:rPr>
        <w:t>未识别 · AI 基础设施 · score 56.9</w:t>
      </w:r>
    </w:p>
    <w:p>
      <w:pPr>
        <w:spacing w:before="0" w:after="100" w:line="264" w:lineRule="auto"/>
      </w:pPr>
      <w:r>
        <w:rPr>
          <w:rFonts w:ascii="Calibri" w:hAnsi="Calibri" w:eastAsia="Hiragino Sans GB"/>
          <w:b w:val="0"/>
          <w:i w:val="0"/>
          <w:color w:val="334155"/>
          <w:sz w:val="20"/>
        </w:rPr>
        <w:t>以研究院权威工作日 2026-07-06 为锚，我们对数据中心电力扩容压力与 GPU 集群建设进度的兼容性进行了深度适配性验证。本项评估不仅印证了 AI 硬件周期的强韧韧性，更将行业核心瓶颈从芯片供给...</w:t>
      </w:r>
    </w:p>
    <w:p>
      <w:pPr>
        <w:spacing w:before="0" w:after="160" w:line="264" w:lineRule="auto"/>
      </w:pPr>
      <w:r>
        <w:rPr>
          <w:rFonts w:ascii="Calibri" w:hAnsi="Calibri" w:eastAsia="Hiragino Sans GB"/>
          <w:b w:val="0"/>
          <w:i w:val="0"/>
          <w:color w:val="667085"/>
          <w:sz w:val="17"/>
        </w:rPr>
        <w:t xml:space="preserve">Report: </w:t>
      </w:r>
      <w:hyperlink r:id="rId19">
        <w:r>
          <w:rPr>
            <w:color w:val="285B9D"/>
            <w:u w:val="single"/>
            <w:rFonts w:eastAsia="Hiragino Sans GB" w:ascii="Calibri" w:hAnsi="Calibri"/>
          </w:rPr>
          <w:t>reports/archive-ea9d54a08283</w:t>
        </w:r>
      </w:hyperlink>
    </w:p>
    <w:p>
      <w:pPr>
        <w:spacing w:before="0" w:after="40" w:line="264" w:lineRule="auto"/>
      </w:pPr>
      <w:r>
        <w:rPr>
          <w:rFonts w:ascii="Calibri" w:hAnsi="Calibri" w:eastAsia="Hiragino Sans GB"/>
          <w:b/>
          <w:i w:val="0"/>
          <w:color w:val="0B2545"/>
          <w:sz w:val="23"/>
        </w:rPr>
        <w:t>3. 核能与可再生能源能否对冲 AI 电网瓶颈 — 2026-07-06</w:t>
      </w:r>
    </w:p>
    <w:p>
      <w:pPr>
        <w:spacing w:before="0" w:after="40" w:line="264" w:lineRule="auto"/>
      </w:pPr>
      <w:r>
        <w:rPr>
          <w:rFonts w:ascii="Calibri" w:hAnsi="Calibri" w:eastAsia="Hiragino Sans GB"/>
          <w:b w:val="0"/>
          <w:i w:val="0"/>
          <w:color w:val="667085"/>
          <w:sz w:val="17"/>
        </w:rPr>
        <w:t>未识别 · 电力与电网 · score 56.8</w:t>
      </w:r>
    </w:p>
    <w:p>
      <w:pPr>
        <w:spacing w:before="0" w:after="100" w:line="264" w:lineRule="auto"/>
      </w:pPr>
      <w:r>
        <w:rPr>
          <w:rFonts w:ascii="Calibri" w:hAnsi="Calibri" w:eastAsia="Hiragino Sans GB"/>
          <w:b w:val="0"/>
          <w:i w:val="0"/>
          <w:color w:val="334155"/>
          <w:sz w:val="20"/>
        </w:rPr>
        <w:t>截至 2026-07-06，我 支持 前序研究（prior research notes）的判断，但把它锐化：核能与绿电的增量产能 能够 在 2027-2030 窗口内实质性对冲变压器与并网风险——但对冲发生在 交付通道 上，而...</w:t>
      </w:r>
    </w:p>
    <w:p>
      <w:pPr>
        <w:spacing w:before="0" w:after="160" w:line="264" w:lineRule="auto"/>
      </w:pPr>
      <w:r>
        <w:rPr>
          <w:rFonts w:ascii="Calibri" w:hAnsi="Calibri" w:eastAsia="Hiragino Sans GB"/>
          <w:b w:val="0"/>
          <w:i w:val="0"/>
          <w:color w:val="667085"/>
          <w:sz w:val="17"/>
        </w:rPr>
        <w:t xml:space="preserve">Report: </w:t>
      </w:r>
      <w:hyperlink r:id="rId20">
        <w:r>
          <w:rPr>
            <w:color w:val="285B9D"/>
            <w:u w:val="single"/>
            <w:rFonts w:eastAsia="Hiragino Sans GB" w:ascii="Calibri" w:hAnsi="Calibri"/>
          </w:rPr>
          <w:t>reports/archive-d31502ae5866</w:t>
        </w:r>
      </w:hyperlink>
    </w:p>
    <w:p>
      <w:pPr>
        <w:spacing w:before="0" w:after="40" w:line="264" w:lineRule="auto"/>
      </w:pPr>
      <w:r>
        <w:rPr>
          <w:rFonts w:ascii="Calibri" w:hAnsi="Calibri" w:eastAsia="Hiragino Sans GB"/>
          <w:b/>
          <w:i w:val="0"/>
          <w:color w:val="0B2545"/>
          <w:sz w:val="23"/>
        </w:rPr>
        <w:t>4. PJM再监管尾部风险下，AI电力复合体的资产配置与对冲</w:t>
      </w:r>
    </w:p>
    <w:p>
      <w:pPr>
        <w:spacing w:before="0" w:after="40" w:line="264" w:lineRule="auto"/>
      </w:pPr>
      <w:r>
        <w:rPr>
          <w:rFonts w:ascii="Calibri" w:hAnsi="Calibri" w:eastAsia="Hiragino Sans GB"/>
          <w:b w:val="0"/>
          <w:i w:val="0"/>
          <w:color w:val="667085"/>
          <w:sz w:val="17"/>
        </w:rPr>
        <w:t>未识别 · 电力与电网 · score 55.6</w:t>
      </w:r>
    </w:p>
    <w:p>
      <w:pPr>
        <w:spacing w:before="0" w:after="100" w:line="264" w:lineRule="auto"/>
      </w:pPr>
      <w:r>
        <w:rPr>
          <w:rFonts w:ascii="Calibri" w:hAnsi="Calibri" w:eastAsia="Hiragino Sans GB"/>
          <w:b w:val="0"/>
          <w:i w:val="0"/>
          <w:color w:val="334155"/>
          <w:sz w:val="20"/>
        </w:rPr>
        <w:t>研究记录 · 分析师： 首席策略师 · 立场： 综合（Synthesize） 工作日期： 2026-07-06（亚洲/新加坡）· 根主题： 电网容量瓶颈下的核电AI数据中心监管加速与并网权转让</w:t>
      </w:r>
    </w:p>
    <w:p>
      <w:pPr>
        <w:spacing w:before="0" w:after="160" w:line="264" w:lineRule="auto"/>
      </w:pPr>
      <w:r>
        <w:rPr>
          <w:rFonts w:ascii="Calibri" w:hAnsi="Calibri" w:eastAsia="Hiragino Sans GB"/>
          <w:b w:val="0"/>
          <w:i w:val="0"/>
          <w:color w:val="667085"/>
          <w:sz w:val="17"/>
        </w:rPr>
        <w:t xml:space="preserve">Report: </w:t>
      </w:r>
      <w:hyperlink r:id="rId21">
        <w:r>
          <w:rPr>
            <w:color w:val="285B9D"/>
            <w:u w:val="single"/>
            <w:rFonts w:eastAsia="Hiragino Sans GB" w:ascii="Calibri" w:hAnsi="Calibri"/>
          </w:rPr>
          <w:t>reports/archive-3efc5de21ab7</w:t>
        </w:r>
      </w:hyperlink>
    </w:p>
    <w:p>
      <w:pPr>
        <w:spacing w:before="0" w:after="40" w:line="264" w:lineRule="auto"/>
      </w:pPr>
      <w:r>
        <w:rPr>
          <w:rFonts w:ascii="Calibri" w:hAnsi="Calibri" w:eastAsia="Hiragino Sans GB"/>
          <w:b/>
          <w:i w:val="0"/>
          <w:color w:val="0B2545"/>
          <w:sz w:val="23"/>
        </w:rPr>
        <w:t>5. 半导体先进封装与HBM供应节奏对下游算力基础设施交付周期的影响及电网并网压力测试报告</w:t>
      </w:r>
    </w:p>
    <w:p>
      <w:pPr>
        <w:spacing w:before="0" w:after="40" w:line="264" w:lineRule="auto"/>
      </w:pPr>
      <w:r>
        <w:rPr>
          <w:rFonts w:ascii="Calibri" w:hAnsi="Calibri" w:eastAsia="Hiragino Sans GB"/>
          <w:b w:val="0"/>
          <w:i w:val="0"/>
          <w:color w:val="667085"/>
          <w:sz w:val="17"/>
        </w:rPr>
        <w:t>未识别 · AI 基础设施 · score 52.5</w:t>
      </w:r>
    </w:p>
    <w:p>
      <w:pPr>
        <w:spacing w:before="0" w:after="100" w:line="264" w:lineRule="auto"/>
      </w:pPr>
      <w:r>
        <w:rPr>
          <w:rFonts w:ascii="Calibri" w:hAnsi="Calibri" w:eastAsia="Hiragino Sans GB"/>
          <w:b w:val="0"/>
          <w:i w:val="0"/>
          <w:color w:val="334155"/>
          <w:sz w:val="20"/>
        </w:rPr>
        <w:t>半导体先进封装与HBM供应节奏对下游算力基础设施交付周期的影响及电网并网压力测试报告</w:t>
      </w:r>
    </w:p>
    <w:p>
      <w:pPr>
        <w:spacing w:before="0" w:after="160" w:line="264" w:lineRule="auto"/>
      </w:pPr>
      <w:r>
        <w:rPr>
          <w:rFonts w:ascii="Calibri" w:hAnsi="Calibri" w:eastAsia="Hiragino Sans GB"/>
          <w:b w:val="0"/>
          <w:i w:val="0"/>
          <w:color w:val="667085"/>
          <w:sz w:val="17"/>
        </w:rPr>
        <w:t xml:space="preserve">Report: </w:t>
      </w:r>
      <w:hyperlink r:id="rId22">
        <w:r>
          <w:rPr>
            <w:color w:val="285B9D"/>
            <w:u w:val="single"/>
            <w:rFonts w:eastAsia="Hiragino Sans GB" w:ascii="Calibri" w:hAnsi="Calibri"/>
          </w:rPr>
          <w:t>reports/archive-b4d4b7fd961e</w:t>
        </w:r>
      </w:hyperlink>
    </w:p>
    <w:p>
      <w:pPr>
        <w:spacing w:before="0" w:after="40" w:line="264" w:lineRule="auto"/>
      </w:pPr>
      <w:r>
        <w:rPr>
          <w:rFonts w:ascii="Calibri" w:hAnsi="Calibri" w:eastAsia="Hiragino Sans GB"/>
          <w:b/>
          <w:i w:val="0"/>
          <w:color w:val="0B2545"/>
          <w:sz w:val="23"/>
        </w:rPr>
        <w:t>6. AI 数据中心瓶颈对半导体订单的传导 — 2026-07-06</w:t>
      </w:r>
    </w:p>
    <w:p>
      <w:pPr>
        <w:spacing w:before="0" w:after="40" w:line="264" w:lineRule="auto"/>
      </w:pPr>
      <w:r>
        <w:rPr>
          <w:rFonts w:ascii="Calibri" w:hAnsi="Calibri" w:eastAsia="Hiragino Sans GB"/>
          <w:b w:val="0"/>
          <w:i w:val="0"/>
          <w:color w:val="667085"/>
          <w:sz w:val="17"/>
        </w:rPr>
        <w:t>未识别 · AI 基础设施 · score 52.3</w:t>
      </w:r>
    </w:p>
    <w:p>
      <w:pPr>
        <w:spacing w:before="0" w:after="100" w:line="264" w:lineRule="auto"/>
      </w:pPr>
      <w:r>
        <w:rPr>
          <w:rFonts w:ascii="Calibri" w:hAnsi="Calibri" w:eastAsia="Hiragino Sans GB"/>
          <w:b w:val="0"/>
          <w:i w:val="0"/>
          <w:color w:val="334155"/>
          <w:sz w:val="20"/>
        </w:rPr>
        <w:t>截至研究所工作日期 2026-07-06，本报告综合而非否定 prior research notes：AI 基础设施需求仍足以支撑 2026H2 存储、先进封装、液冷、电力设备和部分半导体设备订单，但前提是项目已经锁定电...</w:t>
      </w:r>
    </w:p>
    <w:p>
      <w:pPr>
        <w:spacing w:before="0" w:after="160" w:line="264" w:lineRule="auto"/>
      </w:pPr>
      <w:r>
        <w:rPr>
          <w:rFonts w:ascii="Calibri" w:hAnsi="Calibri" w:eastAsia="Hiragino Sans GB"/>
          <w:b w:val="0"/>
          <w:i w:val="0"/>
          <w:color w:val="667085"/>
          <w:sz w:val="17"/>
        </w:rPr>
        <w:t xml:space="preserve">Report: </w:t>
      </w:r>
      <w:hyperlink r:id="rId23">
        <w:r>
          <w:rPr>
            <w:color w:val="285B9D"/>
            <w:u w:val="single"/>
            <w:rFonts w:eastAsia="Hiragino Sans GB" w:ascii="Calibri" w:hAnsi="Calibri"/>
          </w:rPr>
          <w:t>reports/archive-b3da53872707</w:t>
        </w:r>
      </w:hyperlink>
    </w:p>
    <w:p>
      <w:pPr>
        <w:pStyle w:val="Heading1"/>
      </w:pPr>
      <w:r>
        <w:t>4. 重点跟踪事项</w:t>
      </w:r>
    </w:p>
    <w:p>
      <w:pPr>
        <w:spacing w:before="0" w:after="40" w:line="264" w:lineRule="auto"/>
      </w:pPr>
      <w:r>
        <w:rPr>
          <w:rFonts w:ascii="Calibri" w:hAnsi="Calibri" w:eastAsia="Hiragino Sans GB"/>
          <w:b/>
          <w:i w:val="0"/>
          <w:color w:val="0B2545"/>
          <w:sz w:val="22"/>
        </w:rPr>
        <w:t>研究门户共享研究会话（前序研究）— 2026-07-02</w:t>
      </w:r>
    </w:p>
    <w:p>
      <w:pPr>
        <w:spacing w:before="0" w:after="60" w:line="264" w:lineRule="auto"/>
      </w:pPr>
      <w:r>
        <w:rPr>
          <w:rFonts w:ascii="Calibri" w:hAnsi="Calibri" w:eastAsia="Hiragino Sans GB"/>
          <w:b w:val="0"/>
          <w:i w:val="0"/>
          <w:color w:val="334155"/>
          <w:sz w:val="20"/>
        </w:rPr>
        <w:t>工业供给瓶颈，影响 5 / 概率 3</w:t>
      </w:r>
    </w:p>
    <w:p>
      <w:pPr>
        <w:spacing w:before="0" w:after="160" w:line="264" w:lineRule="auto"/>
      </w:pPr>
      <w:r>
        <w:rPr>
          <w:rFonts w:ascii="Calibri" w:hAnsi="Calibri" w:eastAsia="Hiragino Sans GB"/>
          <w:b w:val="0"/>
          <w:i w:val="0"/>
          <w:color w:val="667085"/>
          <w:sz w:val="17"/>
        </w:rPr>
        <w:t xml:space="preserve">Report: </w:t>
      </w:r>
      <w:hyperlink r:id="rId13">
        <w:r>
          <w:rPr>
            <w:color w:val="285B9D"/>
            <w:u w:val="single"/>
            <w:rFonts w:eastAsia="Hiragino Sans GB" w:ascii="Calibri" w:hAnsi="Calibri"/>
          </w:rPr>
          <w:t>reports/archive-ab42ff09df9e</w:t>
        </w:r>
      </w:hyperlink>
    </w:p>
    <w:p>
      <w:pPr>
        <w:spacing w:before="0" w:after="40" w:line="264" w:lineRule="auto"/>
      </w:pPr>
      <w:r>
        <w:rPr>
          <w:rFonts w:ascii="Calibri" w:hAnsi="Calibri" w:eastAsia="Hiragino Sans GB"/>
          <w:b/>
          <w:i w:val="0"/>
          <w:color w:val="0B2545"/>
          <w:sz w:val="22"/>
        </w:rPr>
        <w:t>中国电网设备与液冷温控供应链产能瓶颈及交付周期分析</w:t>
      </w:r>
    </w:p>
    <w:p>
      <w:pPr>
        <w:spacing w:before="0" w:after="60" w:line="264" w:lineRule="auto"/>
      </w:pPr>
      <w:r>
        <w:rPr>
          <w:rFonts w:ascii="Calibri" w:hAnsi="Calibri" w:eastAsia="Hiragino Sans GB"/>
          <w:b w:val="0"/>
          <w:i w:val="0"/>
          <w:color w:val="334155"/>
          <w:sz w:val="20"/>
        </w:rPr>
        <w:t>工业供给瓶颈，影响 5 / 概率 5</w:t>
      </w:r>
    </w:p>
    <w:p>
      <w:pPr>
        <w:spacing w:before="0" w:after="160" w:line="264" w:lineRule="auto"/>
      </w:pPr>
      <w:r>
        <w:rPr>
          <w:rFonts w:ascii="Calibri" w:hAnsi="Calibri" w:eastAsia="Hiragino Sans GB"/>
          <w:b w:val="0"/>
          <w:i w:val="0"/>
          <w:color w:val="667085"/>
          <w:sz w:val="17"/>
        </w:rPr>
        <w:t xml:space="preserve">Report: </w:t>
      </w:r>
      <w:hyperlink r:id="rId12">
        <w:r>
          <w:rPr>
            <w:color w:val="285B9D"/>
            <w:u w:val="single"/>
            <w:rFonts w:eastAsia="Hiragino Sans GB" w:ascii="Calibri" w:hAnsi="Calibri"/>
          </w:rPr>
          <w:t>reports/archive-710afaa90d12</w:t>
        </w:r>
      </w:hyperlink>
    </w:p>
    <w:p>
      <w:pPr>
        <w:spacing w:before="0" w:after="40" w:line="264" w:lineRule="auto"/>
      </w:pPr>
      <w:r>
        <w:rPr>
          <w:rFonts w:ascii="Calibri" w:hAnsi="Calibri" w:eastAsia="Hiragino Sans GB"/>
          <w:b/>
          <w:i w:val="0"/>
          <w:color w:val="0B2545"/>
          <w:sz w:val="22"/>
        </w:rPr>
        <w:t>AI 算力扩容与电网供给约束的适配性评估报告 - 2026-07-06</w:t>
      </w:r>
    </w:p>
    <w:p>
      <w:pPr>
        <w:spacing w:before="0" w:after="60" w:line="264" w:lineRule="auto"/>
      </w:pPr>
      <w:r>
        <w:rPr>
          <w:rFonts w:ascii="Calibri" w:hAnsi="Calibri" w:eastAsia="Hiragino Sans GB"/>
          <w:b w:val="0"/>
          <w:i w:val="0"/>
          <w:color w:val="334155"/>
          <w:sz w:val="20"/>
        </w:rPr>
        <w:t>AI 基础设施，影响 5 / 概率 3</w:t>
      </w:r>
    </w:p>
    <w:p>
      <w:pPr>
        <w:spacing w:before="0" w:after="160" w:line="264" w:lineRule="auto"/>
      </w:pPr>
      <w:r>
        <w:rPr>
          <w:rFonts w:ascii="Calibri" w:hAnsi="Calibri" w:eastAsia="Hiragino Sans GB"/>
          <w:b w:val="0"/>
          <w:i w:val="0"/>
          <w:color w:val="667085"/>
          <w:sz w:val="17"/>
        </w:rPr>
        <w:t xml:space="preserve">Report: </w:t>
      </w:r>
      <w:hyperlink r:id="rId19">
        <w:r>
          <w:rPr>
            <w:color w:val="285B9D"/>
            <w:u w:val="single"/>
            <w:rFonts w:eastAsia="Hiragino Sans GB" w:ascii="Calibri" w:hAnsi="Calibri"/>
          </w:rPr>
          <w:t>reports/archive-ea9d54a08283</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iragino Sans GB"/>
                <w:b/>
                <w:color w:val="475569"/>
                <w:sz w:val="18"/>
              </w:rPr>
              <w:t>报告</w:t>
            </w:r>
          </w:p>
        </w:tc>
        <w:tc>
          <w:tcPr>
            <w:tcW w:type="dxa" w:w="1560"/>
            <w:vAlign w:val="center"/>
            <w:shd w:fill="F2F4F7"/>
          </w:tcPr>
          <w:p>
            <w:pPr>
              <w:spacing w:before="0" w:after="0"/>
              <w:jc w:val="center"/>
            </w:pPr>
            <w:r/>
            <w:r>
              <w:rPr>
                <w:rFonts w:ascii="Calibri" w:hAnsi="Calibri" w:eastAsia="Hiragino Sans GB"/>
                <w:b/>
                <w:color w:val="475569"/>
                <w:sz w:val="18"/>
              </w:rPr>
              <w:t>分析师</w:t>
            </w:r>
          </w:p>
        </w:tc>
        <w:tc>
          <w:tcPr>
            <w:tcW w:type="dxa" w:w="1680"/>
            <w:vAlign w:val="center"/>
            <w:shd w:fill="F2F4F7"/>
          </w:tcPr>
          <w:p>
            <w:pPr>
              <w:spacing w:before="0" w:after="0"/>
              <w:jc w:val="center"/>
            </w:pPr>
            <w:r/>
            <w:r>
              <w:rPr>
                <w:rFonts w:ascii="Calibri" w:hAnsi="Calibri" w:eastAsia="Hiragino Sans GB"/>
                <w:b/>
                <w:color w:val="475569"/>
                <w:sz w:val="18"/>
              </w:rPr>
              <w:t>行业链</w:t>
            </w:r>
          </w:p>
        </w:tc>
        <w:tc>
          <w:tcPr>
            <w:tcW w:type="dxa" w:w="900"/>
            <w:vAlign w:val="center"/>
            <w:shd w:fill="F2F4F7"/>
          </w:tcPr>
          <w:p>
            <w:pPr>
              <w:spacing w:before="0" w:after="0"/>
              <w:jc w:val="center"/>
            </w:pPr>
            <w:r/>
            <w:r>
              <w:rPr>
                <w:rFonts w:ascii="Calibri" w:hAnsi="Calibri" w:eastAsia="Hiragino Sans GB"/>
                <w:b/>
                <w:color w:val="475569"/>
                <w:sz w:val="18"/>
              </w:rPr>
              <w:t>评分</w:t>
            </w:r>
          </w:p>
        </w:tc>
        <w:tc>
          <w:tcPr>
            <w:tcW w:type="dxa" w:w="1500"/>
            <w:vAlign w:val="center"/>
            <w:shd w:fill="F2F4F7"/>
          </w:tcPr>
          <w:p>
            <w:pPr>
              <w:spacing w:before="0" w:after="0"/>
              <w:jc w:val="center"/>
            </w:pPr>
            <w:r/>
            <w:r>
              <w:rPr>
                <w:rFonts w:ascii="Calibri" w:hAnsi="Calibri" w:eastAsia="Hiragino Sans GB"/>
                <w:b/>
                <w:color w:val="475569"/>
                <w:sz w:val="18"/>
              </w:rPr>
              <w:t>风险</w:t>
            </w:r>
          </w:p>
        </w:tc>
      </w:tr>
      <w:tr>
        <w:tc>
          <w:tcPr>
            <w:tcW w:type="dxa" w:w="3720"/>
            <w:vAlign w:val="center"/>
          </w:tcPr>
          <w:p>
            <w:pPr>
              <w:spacing w:before="0" w:after="0"/>
            </w:pPr>
            <w:r/>
            <w:r>
              <w:rPr>
                <w:rFonts w:ascii="Calibri" w:hAnsi="Calibri" w:eastAsia="Hiragino Sans GB"/>
                <w:b w:val="0"/>
                <w:color w:val="111827"/>
                <w:sz w:val="17"/>
              </w:rPr>
              <w:t>中国电网设备与液冷温控供应链产能瓶颈及交付周期分析</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58.5</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AI 算力扩容与电网供给约束的适配性评估报告 - 2026-07-06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56.9</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核能与可再生能源能否对冲 AI 电网瓶颈 — 2026-07-06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56.8</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PJM再监管尾部风险下，AI电力复合体的资产配置与对冲</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55.6</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半导体先进封装与HBM供应节奏对下游算力基础设施交付周期的影响及电网并网压力测试报告</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52.5</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 数据中心瓶颈对半导体订单的传导 — 2026-07-06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52.3</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专题报告：电力与交付能力约束下先进封装（OSAT）与Retimer芯片毛利率韧性压力测试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宏观通胀传导</w:t>
            </w:r>
          </w:p>
        </w:tc>
        <w:tc>
          <w:tcPr>
            <w:tcW w:type="dxa" w:w="900"/>
            <w:vAlign w:val="center"/>
          </w:tcPr>
          <w:p>
            <w:pPr>
              <w:spacing w:before="0" w:after="0"/>
              <w:jc w:val="center"/>
            </w:pPr>
            <w:r/>
            <w:r>
              <w:rPr>
                <w:rFonts w:ascii="Calibri" w:hAnsi="Calibri" w:eastAsia="Hiragino Sans GB"/>
                <w:b/>
                <w:color w:val="111827"/>
                <w:sz w:val="17"/>
              </w:rPr>
              <w:t>51.8</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美国PJM电网硬约束下商用核电增容、机组重启与SMR容量的现实可交付性压力测试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51.2</w:t>
            </w:r>
          </w:p>
        </w:tc>
        <w:tc>
          <w:tcPr>
            <w:tcW w:type="dxa" w:w="1500"/>
            <w:vAlign w:val="center"/>
          </w:tcPr>
          <w:p>
            <w:pPr>
              <w:spacing w:before="0" w:after="0"/>
              <w:jc w:val="center"/>
            </w:pPr>
            <w:r/>
            <w:r>
              <w:rPr>
                <w:rFonts w:ascii="Calibri" w:hAnsi="Calibri" w:eastAsia="Hiragino Sans GB"/>
                <w:b w:val="0"/>
                <w:color w:val="111827"/>
                <w:sz w:val="16"/>
              </w:rPr>
              <w:t>风险 3</w:t>
            </w:r>
          </w:p>
        </w:tc>
      </w:tr>
      <w:tr>
        <w:tc>
          <w:tcPr>
            <w:tcW w:type="dxa" w:w="3720"/>
            <w:vAlign w:val="center"/>
          </w:tcPr>
          <w:p>
            <w:pPr>
              <w:spacing w:before="0" w:after="0"/>
            </w:pPr>
            <w:r/>
            <w:r>
              <w:rPr>
                <w:rFonts w:ascii="Calibri" w:hAnsi="Calibri" w:eastAsia="Hiragino Sans GB"/>
                <w:b w:val="0"/>
                <w:color w:val="111827"/>
                <w:sz w:val="17"/>
              </w:rPr>
              <w:t>2026-07-06 压力测试：电网Capex与AI电力需求能否消化铜库存？</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50.8</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首席风控压力测试：截至2026-07-06的并网延期、HBM约束与AI电价下限上移</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49.3</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AI算力物理红线硬约束下的“Infra三剑客”（电力、电网设备与液体冷却）估值重塑</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48.7</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研究报告：AI数据中心区域电力交付验证 (2026-07-06)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48.4</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AI基础设施建设延缓对算力产能扩张及数据中心电力供应的影响</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48.2</w:t>
            </w:r>
          </w:p>
        </w:tc>
        <w:tc>
          <w:tcPr>
            <w:tcW w:type="dxa" w:w="1500"/>
            <w:vAlign w:val="center"/>
          </w:tcPr>
          <w:p>
            <w:pPr>
              <w:spacing w:before="0" w:after="0"/>
              <w:jc w:val="center"/>
            </w:pPr>
            <w:r/>
            <w:r>
              <w:rPr>
                <w:rFonts w:ascii="Calibri" w:hAnsi="Calibri" w:eastAsia="Hiragino Sans GB"/>
                <w:b w:val="0"/>
                <w:color w:val="111827"/>
                <w:sz w:val="16"/>
              </w:rPr>
              <w:t>常规</w:t>
            </w:r>
          </w:p>
        </w:tc>
      </w:tr>
      <w:tr>
        <w:tc>
          <w:tcPr>
            <w:tcW w:type="dxa" w:w="3720"/>
            <w:vAlign w:val="center"/>
          </w:tcPr>
          <w:p>
            <w:pPr>
              <w:spacing w:before="0" w:after="0"/>
            </w:pPr>
            <w:r/>
            <w:r>
              <w:rPr>
                <w:rFonts w:ascii="Calibri" w:hAnsi="Calibri" w:eastAsia="Hiragino Sans GB"/>
                <w:b w:val="0"/>
                <w:color w:val="111827"/>
                <w:sz w:val="17"/>
              </w:rPr>
              <w:t>基于 AI 电网瓶颈（AI Gridlock）、资本开支理性化与推理通缩对 52/30/10/8 跨资产组合的压力测试...</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47.9</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A股算力产业链中的散热物理红线约束与液冷交付重塑</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47.5</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研究报告：取向硅钢(GOES)会成为电力设备交付的下一个物理墙吗？（2026-07-06）</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工业供给瓶颈</w:t>
            </w:r>
          </w:p>
        </w:tc>
        <w:tc>
          <w:tcPr>
            <w:tcW w:type="dxa" w:w="900"/>
            <w:vAlign w:val="center"/>
          </w:tcPr>
          <w:p>
            <w:pPr>
              <w:spacing w:before="0" w:after="0"/>
              <w:jc w:val="center"/>
            </w:pPr>
            <w:r/>
            <w:r>
              <w:rPr>
                <w:rFonts w:ascii="Calibri" w:hAnsi="Calibri" w:eastAsia="Hiragino Sans GB"/>
                <w:b/>
                <w:color w:val="111827"/>
                <w:sz w:val="17"/>
              </w:rPr>
              <w:t>47.4</w:t>
            </w:r>
          </w:p>
        </w:tc>
        <w:tc>
          <w:tcPr>
            <w:tcW w:type="dxa" w:w="1500"/>
            <w:vAlign w:val="center"/>
          </w:tcPr>
          <w:p>
            <w:pPr>
              <w:spacing w:before="0" w:after="0"/>
              <w:jc w:val="center"/>
            </w:pPr>
            <w:r/>
            <w:r>
              <w:rPr>
                <w:rFonts w:ascii="Calibri" w:hAnsi="Calibri" w:eastAsia="Hiragino Sans GB"/>
                <w:b w:val="0"/>
                <w:color w:val="111827"/>
                <w:sz w:val="16"/>
              </w:rPr>
              <w:t>风险 1</w:t>
            </w:r>
          </w:p>
        </w:tc>
      </w:tr>
      <w:tr>
        <w:tc>
          <w:tcPr>
            <w:tcW w:type="dxa" w:w="3720"/>
            <w:vAlign w:val="center"/>
          </w:tcPr>
          <w:p>
            <w:pPr>
              <w:spacing w:before="0" w:after="0"/>
            </w:pPr>
            <w:r/>
            <w:r>
              <w:rPr>
                <w:rFonts w:ascii="Calibri" w:hAnsi="Calibri" w:eastAsia="Hiragino Sans GB"/>
                <w:b w:val="0"/>
                <w:color w:val="111827"/>
                <w:sz w:val="17"/>
              </w:rPr>
              <w:t>西部算力枢纽绿色电力直供与“电-算协同”物理并网瓶颈的公用事业侧压力测试 (research note)</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AI 基础设施</w:t>
            </w:r>
          </w:p>
        </w:tc>
        <w:tc>
          <w:tcPr>
            <w:tcW w:type="dxa" w:w="900"/>
            <w:vAlign w:val="center"/>
          </w:tcPr>
          <w:p>
            <w:pPr>
              <w:spacing w:before="0" w:after="0"/>
              <w:jc w:val="center"/>
            </w:pPr>
            <w:r/>
            <w:r>
              <w:rPr>
                <w:rFonts w:ascii="Calibri" w:hAnsi="Calibri" w:eastAsia="Hiragino Sans GB"/>
                <w:b/>
                <w:color w:val="111827"/>
                <w:sz w:val="17"/>
              </w:rPr>
              <w:t>47.3</w:t>
            </w:r>
          </w:p>
        </w:tc>
        <w:tc>
          <w:tcPr>
            <w:tcW w:type="dxa" w:w="1500"/>
            <w:vAlign w:val="center"/>
          </w:tcPr>
          <w:p>
            <w:pPr>
              <w:spacing w:before="0" w:after="0"/>
              <w:jc w:val="center"/>
            </w:pPr>
            <w:r/>
            <w:r>
              <w:rPr>
                <w:rFonts w:ascii="Calibri" w:hAnsi="Calibri" w:eastAsia="Hiragino Sans GB"/>
                <w:b w:val="0"/>
                <w:color w:val="111827"/>
                <w:sz w:val="16"/>
              </w:rPr>
              <w:t>风险 2</w:t>
            </w:r>
          </w:p>
        </w:tc>
      </w:tr>
      <w:tr>
        <w:tc>
          <w:tcPr>
            <w:tcW w:type="dxa" w:w="3720"/>
            <w:vAlign w:val="center"/>
          </w:tcPr>
          <w:p>
            <w:pPr>
              <w:spacing w:before="0" w:after="0"/>
            </w:pPr>
            <w:r/>
            <w:r>
              <w:rPr>
                <w:rFonts w:ascii="Calibri" w:hAnsi="Calibri" w:eastAsia="Hiragino Sans GB"/>
                <w:b w:val="0"/>
                <w:color w:val="111827"/>
                <w:sz w:val="17"/>
              </w:rPr>
              <w:t>压力测试：PJM容量电价上涨与NOx审批趋严，是否真的侵蚀AI电力交付资产的利润率？</w:t>
            </w:r>
          </w:p>
        </w:tc>
        <w:tc>
          <w:tcPr>
            <w:tcW w:type="dxa" w:w="1560"/>
            <w:vAlign w:val="center"/>
          </w:tcPr>
          <w:p>
            <w:pPr>
              <w:spacing w:before="0" w:after="0"/>
            </w:pPr>
            <w:r/>
            <w:r>
              <w:rPr>
                <w:rFonts w:ascii="Calibri" w:hAnsi="Calibri" w:eastAsia="Hiragino Sans GB"/>
                <w:b w:val="0"/>
                <w:color w:val="111827"/>
                <w:sz w:val="16"/>
              </w:rPr>
              <w:t>未识别</w:t>
            </w:r>
          </w:p>
        </w:tc>
        <w:tc>
          <w:tcPr>
            <w:tcW w:type="dxa" w:w="1680"/>
            <w:vAlign w:val="center"/>
          </w:tcPr>
          <w:p>
            <w:pPr>
              <w:spacing w:before="0" w:after="0"/>
            </w:pPr>
            <w:r/>
            <w:r>
              <w:rPr>
                <w:rFonts w:ascii="Calibri" w:hAnsi="Calibri" w:eastAsia="Hiragino Sans GB"/>
                <w:b w:val="0"/>
                <w:color w:val="111827"/>
                <w:sz w:val="16"/>
              </w:rPr>
              <w:t>电力与电网</w:t>
            </w:r>
          </w:p>
        </w:tc>
        <w:tc>
          <w:tcPr>
            <w:tcW w:type="dxa" w:w="900"/>
            <w:vAlign w:val="center"/>
          </w:tcPr>
          <w:p>
            <w:pPr>
              <w:spacing w:before="0" w:after="0"/>
              <w:jc w:val="center"/>
            </w:pPr>
            <w:r/>
            <w:r>
              <w:rPr>
                <w:rFonts w:ascii="Calibri" w:hAnsi="Calibri" w:eastAsia="Hiragino Sans GB"/>
                <w:b/>
                <w:color w:val="111827"/>
                <w:sz w:val="17"/>
              </w:rPr>
              <w:t>46.9</w:t>
            </w:r>
          </w:p>
        </w:tc>
        <w:tc>
          <w:tcPr>
            <w:tcW w:type="dxa" w:w="1500"/>
            <w:vAlign w:val="center"/>
          </w:tcPr>
          <w:p>
            <w:pPr>
              <w:spacing w:before="0" w:after="0"/>
              <w:jc w:val="center"/>
            </w:pPr>
            <w:r/>
            <w:r>
              <w:rPr>
                <w:rFonts w:ascii="Calibri" w:hAnsi="Calibri" w:eastAsia="Hiragino Sans GB"/>
                <w:b w:val="0"/>
                <w:color w:val="111827"/>
                <w:sz w:val="16"/>
              </w:rPr>
              <w:t>风险 2</w:t>
            </w:r>
          </w:p>
        </w:tc>
      </w:tr>
    </w:tbl>
    <w:p>
      <w:pPr>
        <w:spacing w:before="0" w:after="160" w:line="264" w:lineRule="auto"/>
      </w:pPr>
      <w:r>
        <w:rPr>
          <w:rFonts w:ascii="Calibri" w:hAnsi="Calibri" w:eastAsia="Hiragino Sans GB"/>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iragino Sans GB"/>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iragino Sans GB"/>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iragino Sans GB"/>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iragino Sans GB"/>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iragino Sans GB"/>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710afaa90d12" TargetMode="External"/><Relationship Id="rId13" Type="http://schemas.openxmlformats.org/officeDocument/2006/relationships/hyperlink" Target="reports/archive-ab42ff09df9e" TargetMode="External"/><Relationship Id="rId14" Type="http://schemas.openxmlformats.org/officeDocument/2006/relationships/hyperlink" Target="reports/archive-150bf00dd1dc"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ea9d54a08283" TargetMode="External"/><Relationship Id="rId20" Type="http://schemas.openxmlformats.org/officeDocument/2006/relationships/hyperlink" Target="reports/archive-d31502ae5866" TargetMode="External"/><Relationship Id="rId21" Type="http://schemas.openxmlformats.org/officeDocument/2006/relationships/hyperlink" Target="reports/archive-3efc5de21ab7" TargetMode="External"/><Relationship Id="rId22" Type="http://schemas.openxmlformats.org/officeDocument/2006/relationships/hyperlink" Target="reports/archive-b4d4b7fd961e" TargetMode="External"/><Relationship Id="rId23" Type="http://schemas.openxmlformats.org/officeDocument/2006/relationships/hyperlink" Target="reports/archive-b3da538727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2026-07-06</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