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2366"/>
        </w:tabs>
        <w:spacing w:line="322" w:lineRule="auto"/>
        <w:ind w:left="2366" w:firstLine="0"/>
        <w:rPr/>
      </w:pPr>
      <w:bookmarkStart w:colFirst="0" w:colLast="0" w:name="_g0ogs7xwpa6u" w:id="0"/>
      <w:bookmarkEnd w:id="0"/>
      <w:r w:rsidDel="00000000" w:rsidR="00000000" w:rsidRPr="00000000">
        <w:rPr>
          <w:rtl w:val="0"/>
        </w:rPr>
        <w:t xml:space="preserve">Состояние загрязнения почв тяжёлыми металлами</w:t>
      </w:r>
    </w:p>
    <w:p w:rsidR="00000000" w:rsidDel="00000000" w:rsidP="00000000" w:rsidRDefault="00000000" w:rsidRPr="00000000" w14:paraId="00000002">
      <w:pPr>
        <w:ind w:left="135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Восточно-Казахстанской области за весенний период 2017 года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522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городе Усть-Каменогорске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содержание хрома находилось в пределах 0,2 - 2,0 мг/кг, цинка –27,6- 93,0 мг/кг, свинца – 78,1-694,6 мг/кг и меди – 1,0-19,5 мг/кг.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93" w:right="534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40" w:lineRule="auto"/>
        <w:ind w:left="393" w:right="528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улицы Тракторной и проспекта Абая концентрация свинца – 21,3 ПДК, меди – 5,1 ПДК, цинка – 2,8 ПДК;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240" w:lineRule="auto"/>
        <w:ind w:left="393" w:right="537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 Рабочая и Бажова (от ОАО "Казцинк" 1 км) концентрация меди – 2,1 ПДК, свинца – 15,1 ПДК, цинка – 4,0 ПДК;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6"/>
        </w:tabs>
        <w:spacing w:after="0" w:before="1" w:line="240" w:lineRule="auto"/>
        <w:ind w:left="393" w:right="526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автомагистрали проспекта Ленина (район ГАИ, 3 км на ЮЗ от ОАО "КазЦинк") концентрация свинца – 3,0 ПДК, цинка – 2,8 ПДК, меди – 1,3 ПДК;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4"/>
        </w:tabs>
        <w:spacing w:after="0" w:before="0" w:line="240" w:lineRule="auto"/>
        <w:ind w:left="393" w:right="536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парка "Голубые озера" (3 км от ОАО "Казцинк") концентрация свинца – 2,4 ПДК, цинка – 1,2 ПДК;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40" w:lineRule="auto"/>
        <w:ind w:left="393" w:right="526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школы №34 (3 км от ОАО "Казцинк") концентрация свинца – 21,7 ПДК, меди – 6,5 ПДК, цинка – 3,2 ПДК;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525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городе Риддер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содержание хрома находилось в пределах 0,4-1,8 мг/кг, цинка –26,0-104,0 мг/кг, меди – 2,8-17,9 мг/кг и свинца – 110,3-524,8 мг/кг, кадмия – 0,8-5,0 мг/кг.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533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различных районах города концентрации тяжелых металлов, превышающих ПДК, составили: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6"/>
        </w:tabs>
        <w:spacing w:after="0" w:before="0" w:line="240" w:lineRule="auto"/>
        <w:ind w:left="393" w:right="525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парковой зоны концентрации свинца - 12,8 ПДК, цинка – 2,1 ПДК, меди – 3,4 ПДК;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3"/>
        </w:tabs>
        <w:spacing w:after="0" w:before="0" w:line="240" w:lineRule="auto"/>
        <w:ind w:left="393" w:right="533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санитарно-защитной зоны Цинкового завода, где концентрация свинца – 16,4 ПДК, меди – 6,0 ПДК цинка – 4,5 ПДК;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6"/>
        </w:tabs>
        <w:spacing w:after="0" w:before="67" w:line="242" w:lineRule="auto"/>
        <w:ind w:left="393" w:right="532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санитарно-защитной зоны Свинцового завода концентрации свинца – 9,7 ПДК, меди- 2,6 ПДК, цинка – 3,4 ПДК;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3"/>
        </w:tabs>
        <w:spacing w:after="0" w:before="0" w:line="240" w:lineRule="auto"/>
        <w:ind w:left="393" w:right="527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школы №3 концентрации свинца – 3,4 ПДК, меди – 1,2 ПДК, цинка – 3,6 ПДК;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0"/>
        </w:tabs>
        <w:spacing w:after="0" w:before="0" w:line="240" w:lineRule="auto"/>
        <w:ind w:left="393" w:right="529" w:firstLine="566.0000000000001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наиболее загруженной автомагистрали концентрации свинца – 8,7 ПДК, цинка – 1,1.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95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524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городе Семей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0,3-4,9 мг/кг, цинка – 12,1-25,6 мг/кг, свинца – 10,9-34,8 мг/кг, меди – 0,2-1,6 мг/кг, кадмий – 0,1-0,4 мг/кг.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534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проспекта Ауезова концентрации свинца и цинка достигали 1,1 ПДК.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534" w:firstLine="566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школы №3, в районе автомагистрали, СЗЗ «Семейцемент» и центрального парка концентраций тяжелых металлов, превышающих ПДК, не обнаружено.</w:t>
      </w:r>
    </w:p>
    <w:p w:rsidR="00000000" w:rsidDel="00000000" w:rsidP="00000000" w:rsidRDefault="00000000" w:rsidRPr="00000000" w14:paraId="00000017">
      <w:pPr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393" w:hanging="166.00000000000006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-"/>
      <w:lvlJc w:val="left"/>
      <w:pPr>
        <w:ind w:left="1353" w:hanging="260"/>
      </w:pPr>
      <w:rPr>
        <w:rFonts w:ascii="Courier New" w:cs="Courier New" w:eastAsia="Courier New" w:hAnsi="Courier New"/>
        <w:sz w:val="28"/>
        <w:szCs w:val="28"/>
      </w:rPr>
    </w:lvl>
    <w:lvl w:ilvl="2">
      <w:start w:val="0"/>
      <w:numFmt w:val="bullet"/>
      <w:lvlText w:val="•"/>
      <w:lvlJc w:val="left"/>
      <w:pPr>
        <w:ind w:left="2414" w:hanging="260"/>
      </w:pPr>
      <w:rPr/>
    </w:lvl>
    <w:lvl w:ilvl="3">
      <w:start w:val="0"/>
      <w:numFmt w:val="bullet"/>
      <w:lvlText w:val="•"/>
      <w:lvlJc w:val="left"/>
      <w:pPr>
        <w:ind w:left="3468" w:hanging="260"/>
      </w:pPr>
      <w:rPr/>
    </w:lvl>
    <w:lvl w:ilvl="4">
      <w:start w:val="0"/>
      <w:numFmt w:val="bullet"/>
      <w:lvlText w:val="•"/>
      <w:lvlJc w:val="left"/>
      <w:pPr>
        <w:ind w:left="4522" w:hanging="260"/>
      </w:pPr>
      <w:rPr/>
    </w:lvl>
    <w:lvl w:ilvl="5">
      <w:start w:val="0"/>
      <w:numFmt w:val="bullet"/>
      <w:lvlText w:val="•"/>
      <w:lvlJc w:val="left"/>
      <w:pPr>
        <w:ind w:left="5576" w:hanging="260"/>
      </w:pPr>
      <w:rPr/>
    </w:lvl>
    <w:lvl w:ilvl="6">
      <w:start w:val="0"/>
      <w:numFmt w:val="bullet"/>
      <w:lvlText w:val="•"/>
      <w:lvlJc w:val="left"/>
      <w:pPr>
        <w:ind w:left="6630" w:hanging="260"/>
      </w:pPr>
      <w:rPr/>
    </w:lvl>
    <w:lvl w:ilvl="7">
      <w:start w:val="0"/>
      <w:numFmt w:val="bullet"/>
      <w:lvlText w:val="•"/>
      <w:lvlJc w:val="left"/>
      <w:pPr>
        <w:ind w:left="7684" w:hanging="260"/>
      </w:pPr>
      <w:rPr/>
    </w:lvl>
    <w:lvl w:ilvl="8">
      <w:start w:val="0"/>
      <w:numFmt w:val="bullet"/>
      <w:lvlText w:val="•"/>
      <w:lvlJc w:val="left"/>
      <w:pPr>
        <w:ind w:left="8738" w:hanging="2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97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