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left" w:leader="none" w:pos="2438"/>
        </w:tabs>
        <w:spacing w:before="1" w:line="242" w:lineRule="auto"/>
        <w:ind w:right="1952" w:firstLine="1338"/>
        <w:rPr/>
      </w:pPr>
      <w:bookmarkStart w:colFirst="0" w:colLast="0" w:name="_fw1pbgat8v" w:id="0"/>
      <w:bookmarkEnd w:id="0"/>
      <w:r w:rsidDel="00000000" w:rsidR="00000000" w:rsidRPr="00000000">
        <w:rPr>
          <w:rtl w:val="0"/>
        </w:rPr>
        <w:t xml:space="preserve">Состояние загрязнения почв тяжѐлыми металлами Восточно-Казахстанской области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" w:right="462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весенний периодв городе Усть-Каменогорске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почвы, отобранных в различных районах, содержание хрома находилось в пределах 0,2-5,1 мг/кг, цинка –16,8-509,9 мг/кг, свинца –45,8-632,5 мг/кг и меди – 2,1-19,0 мг/кг.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" w:right="468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различных районах города концентрации металлов, превышающих ПДК, составили: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7"/>
        </w:tabs>
        <w:spacing w:after="0" w:before="1" w:line="240" w:lineRule="auto"/>
        <w:ind w:left="392" w:right="462" w:firstLine="708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пересечении улицы Тракторной и проспекта Абая концентрация свинца – 16,2 ПДК, меди – 6,3 ПДК, цинка – 3,2 ПДК, кадмия – 19,4 ПДК;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87"/>
        </w:tabs>
        <w:spacing w:after="0" w:before="0" w:line="240" w:lineRule="auto"/>
        <w:ind w:left="392" w:right="462" w:firstLine="708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пересечении улиц Рабочая и Бажова (от ТОО «КазЦинк» 1 км) концентрация меди – 5,3 ПДК, цинка – 22,2 ПДК, кадмия – 28,6 ПДК, свинца – 19,8 ПДК;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7"/>
        </w:tabs>
        <w:spacing w:after="0" w:before="0" w:line="240" w:lineRule="auto"/>
        <w:ind w:left="392" w:right="465" w:firstLine="708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автомагистрали проспекта Независимости (район ГАИ, 3 км на ЮЗ от ТОО«КазЦинк») концентрация кадмия – 8,4 ПДК, свинца – 8,4 ПДК, меди – 1,8 ПДК, цинка – 1,3 ПДК;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3"/>
        </w:tabs>
        <w:spacing w:after="0" w:before="0" w:line="240" w:lineRule="auto"/>
        <w:ind w:left="392" w:right="463" w:firstLine="708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парка «Голубые озера» (3 км от ТОО «КазЦинк») концентрация кадмия – 1,7 ПДК, свинца – 1,4 ПДК;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9"/>
        </w:tabs>
        <w:spacing w:after="0" w:before="0" w:line="321" w:lineRule="auto"/>
        <w:ind w:left="1278" w:right="0" w:hanging="177.9999999999999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территории школы №34 (3 км от ТОО «КазЦинк») концентрация свинца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5"/>
        </w:tabs>
        <w:spacing w:after="0" w:before="0" w:line="322" w:lineRule="auto"/>
        <w:ind w:left="604" w:right="0" w:hanging="213.0000000000000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6,0 ПДК, меди – 1,7 ПДК, цинка – 3,1 ПДК, кадмия – 7,4 ПДК;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 содержание хрома находилось в пределах нормы.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392" w:right="462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осенний периодв городе Усть-Каменогорске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почвы, отобранных в различных районах, содержание хрома находилось в пределах 1,2 - 2,2 мг/кг, цинка –25,5- 995,9 мг/кг, свинца – 34,3-1791,1 мг/кг и меди – 0,63-37,6 мг/кг.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" w:right="463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различных районах города концентрации металлов, превышающих ПДК, составили: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7"/>
        </w:tabs>
        <w:spacing w:after="0" w:before="0" w:line="242" w:lineRule="auto"/>
        <w:ind w:left="392" w:right="462" w:firstLine="708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пересечении улицы Тракторной и проспекта Абая концентрация свинца – 56,0 ПДК, меди – 11,7 ПДК, цинка – 43,3 ПДК, кадмия – 39,0 ПДК;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87"/>
        </w:tabs>
        <w:spacing w:after="0" w:before="0" w:line="240" w:lineRule="auto"/>
        <w:ind w:left="392" w:right="462" w:firstLine="708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пересечении улиц Рабочая и Бажова (от ТОО «КазЦинк» 1 км) концентрация меди – 8,2 ПДК, цинка – 24,7 ПДК, кадмия – 22,0 ПДК, свинца – 16,7 ПДК;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7"/>
        </w:tabs>
        <w:spacing w:after="0" w:before="0" w:line="240" w:lineRule="auto"/>
        <w:ind w:left="392" w:right="462" w:firstLine="708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автомагистрали проспекта Независимости (район ГАИ, 3 км на ЮЗ от ТОО «КазЦинк») концентрация кадмия – 17,1 ПДК, свинца –9,6 ПДК, меди – 1,6 ПДК, цинка – 9,9 ПДК;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3"/>
        </w:tabs>
        <w:spacing w:after="0" w:before="0" w:line="240" w:lineRule="auto"/>
        <w:ind w:left="392" w:right="463" w:firstLine="708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парка «Голубые озера» (3 км от ТОО «КазЦинк») концентрация цинка – 1,1 ПДК, кадмия – 1,8 ПДК, свинца – 1,1 ПДК;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9"/>
        </w:tabs>
        <w:spacing w:after="0" w:before="67" w:line="240" w:lineRule="auto"/>
        <w:ind w:left="1278" w:right="0" w:hanging="177.9999999999999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территории школы №34 (3 км от ТОО «КазЦинк») концентрация свинца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5"/>
        </w:tabs>
        <w:spacing w:after="0" w:before="3" w:line="322" w:lineRule="auto"/>
        <w:ind w:left="604" w:right="0" w:hanging="213.0000000000000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34,2 ПДК, меди – 12,5 ПДК, цинка – 36,2 ПДК, кадмия – 35,6 ПДК;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10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 содержание хрома находилось в пределах нормы.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" w:right="461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весенний период в городе Риддер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почвы, отобранных в различных районах, концентрации хрома находилось в пределах 0,7 - 3,5 мг/кг, цинка – 30,6- 42,6 мг/кг, свинца – 106,3 – 406,3 мг/кг, меди – 1,25 – 7,01 мг/кг, кадмий – 2,0-10,84 мг/кг.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" w:right="464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парковой зоны (расстояние от цинкового завода 1,7 км на запад, от свинцового завода 2 км направление ЮЗ) концентрации свинца – 4,2 ПДК, кадмия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5"/>
        </w:tabs>
        <w:spacing w:after="0" w:before="0" w:line="321" w:lineRule="auto"/>
        <w:ind w:left="604" w:right="0" w:hanging="213.0000000000000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4,8 ПДК, цинка – 1,3 ПДК;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" w:right="465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границы СЗЗ Цинкового завода (от Цинкового завода 1км направление З, от Свинцового завода 3,5 км направление ЮЗ) концентрации кадмия – 5,8 ПДК, свинца – 3,3 ПДК, цинка – 1,6 ПДК;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392" w:right="469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границы СЗЗ Свинцового завода (расстояние от Цинкового завода 3,5 км направление СВ, от Свинцового завода 0,8 км направление В) концентрации кадмия – 21,7 ПДК; свинца – 12,7 ПДК; меди – 2,3 ПДК, цинка – 1,9 ПДК;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" w:right="464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школы №3 (расстояние от Свинцового завода 2,9 км направление ЮЗ, от Цинкового завода 4 км направление ЮЗ) концентрации кадмия – 7,8 ПДК; свинца – 7,0 ПДК; меди – 2,0 ПДК; цинка – 1,6 ПДК;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" w:right="461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наиболее загруженной автомагистрали 1-й район (от Цинкового завода 3 км направление ЮЗ, от Свинцового завода 7,5 км направление ЮЗ) концентрации кадмия – 4,0 ПДК; свинца – 6,4 ПДК; цинка – 1,6 ПДК.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" w:right="462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осенний период в городе Риддер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почвы, отобранных в различных районах, концентрации хрома находилось в пределах 0,55-2,74 мг/кг, цинка – 47,86-156,14 мг/кг, свинца –195,68-343,58 мг/кг, меди – 3,91-16,56 мг/кг, кадмий – 4,09-9,66 мг/кг.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" w:right="462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парковой зоны концентрации свинца – 6,8 ПДК, меди – 1,5 ПДК, цинка – 2,1 ПДК, кадмия – 8,2 ПДК;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" w:right="462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границы СЗЗ Цинкового завода концентрации свинца – 10,0 ПДК, меди – 3,2 ПДК, цинка – 6,7 ПДК, кадмия – 19,3 ПДК;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" w:right="461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границы СЗЗ Свинцового завода концентрации свинца – 10,7 ПДК, меди – 3,9 ПДК, цинка – 4,2 ПДК, кадмия – 17,3 ПДК;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10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школы №3 концентрации свинца – 8,4 ПДК, меди – 5,5 ПДК, цинка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5"/>
        </w:tabs>
        <w:spacing w:after="0" w:before="1" w:line="322" w:lineRule="auto"/>
        <w:ind w:left="604" w:right="0" w:hanging="213.00000000000006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6,8 ПДК, кадмия – 8,9 ПДК;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" w:right="462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наиболее загруженной магистрали концентрации свинца – 6,1 ПДК, меди – 1,3 ПДК, цинка – 3,8 ПДК, кадмия –12,4 ПДК.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10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 содержание хрома находилось в пределах нормы.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" w:right="461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весенний период в городе Семей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почвы, отобранных в различных районах, концентрации хрома находилось в пределах 0,04-0,3 мг/кг, цинка – 3,2- 11,4 мг/кг, свинца – 4,3-37,6 мг/кг, меди – 0,3-2,96 мг/кг, кадмий – 0,05-0,53 мг/кг.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392" w:right="47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СЗЗ «Семейцемент» (ул. Глинки раст. От ист. 1км) концентрация кадмия – 1,1 ПДК;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10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пр. Ауэзова концентрация свинца – 1,2 ПДК;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2" w:lineRule="auto"/>
        <w:ind w:left="392" w:right="458" w:firstLine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школы №3 (2 км от центральной котельной) концентрация кадмия – 2,0 ПДК;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8" w:lineRule="auto"/>
        <w:ind w:left="11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автомагистрали ул. Кабанбай Батыра концентрация свинца – 1,6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39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ПДК.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территории автомагистрали и центрального парка концентраций тяжелых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39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металлов, превышающих ПДК, не обнаружено.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" w:right="461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осенний период в городе Семей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почвы, отобранных в различных районах, концентрации хрома находилось в пределах 0,7-2,8 мг/кг, цинка –11,7- 44,6 мг/кг, свинца –10,0-118,3мг/кг, меди –0,63-3,42 мг/кг, кадмий –0,15-1,08 мг/кг.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92" w:right="466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СЗЗ «Семейцемент» (ул. Глинки раст. От ист. 1км) концентрации свинца – 3,7 ПДК, меди – 1,1 ПДК, цинка – 1,9 ПДК;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" w:right="462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школы №3 (2 км от центральной котельной) концентрация кадмия – 2,0 ПДК;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автомагистрали ул. Кабанбай Батыра концентрация свинца – 1,6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39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ПДК.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территории пр.  Ауэзова и центрального парка  концентраций тяжелых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39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металлов, превышающих ПДК, не обнаружено.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09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392" w:hanging="166"/>
      </w:pPr>
      <w:rPr>
        <w:rFonts w:ascii="Times New Roman" w:cs="Times New Roman" w:eastAsia="Times New Roman" w:hAnsi="Times New Roman"/>
        <w:sz w:val="28"/>
        <w:szCs w:val="28"/>
      </w:rPr>
    </w:lvl>
    <w:lvl w:ilvl="1">
      <w:start w:val="0"/>
      <w:numFmt w:val="bullet"/>
      <w:lvlText w:val="•"/>
      <w:lvlJc w:val="left"/>
      <w:pPr>
        <w:ind w:left="1452" w:hanging="166"/>
      </w:pPr>
      <w:rPr/>
    </w:lvl>
    <w:lvl w:ilvl="2">
      <w:start w:val="0"/>
      <w:numFmt w:val="bullet"/>
      <w:lvlText w:val="•"/>
      <w:lvlJc w:val="left"/>
      <w:pPr>
        <w:ind w:left="2505" w:hanging="166"/>
      </w:pPr>
      <w:rPr/>
    </w:lvl>
    <w:lvl w:ilvl="3">
      <w:start w:val="0"/>
      <w:numFmt w:val="bullet"/>
      <w:lvlText w:val="•"/>
      <w:lvlJc w:val="left"/>
      <w:pPr>
        <w:ind w:left="3557" w:hanging="166.00000000000045"/>
      </w:pPr>
      <w:rPr/>
    </w:lvl>
    <w:lvl w:ilvl="4">
      <w:start w:val="0"/>
      <w:numFmt w:val="bullet"/>
      <w:lvlText w:val="•"/>
      <w:lvlJc w:val="left"/>
      <w:pPr>
        <w:ind w:left="4610" w:hanging="166"/>
      </w:pPr>
      <w:rPr/>
    </w:lvl>
    <w:lvl w:ilvl="5">
      <w:start w:val="0"/>
      <w:numFmt w:val="bullet"/>
      <w:lvlText w:val="•"/>
      <w:lvlJc w:val="left"/>
      <w:pPr>
        <w:ind w:left="5663" w:hanging="166.0000000000009"/>
      </w:pPr>
      <w:rPr/>
    </w:lvl>
    <w:lvl w:ilvl="6">
      <w:start w:val="0"/>
      <w:numFmt w:val="bullet"/>
      <w:lvlText w:val="•"/>
      <w:lvlJc w:val="left"/>
      <w:pPr>
        <w:ind w:left="6715" w:hanging="166"/>
      </w:pPr>
      <w:rPr/>
    </w:lvl>
    <w:lvl w:ilvl="7">
      <w:start w:val="0"/>
      <w:numFmt w:val="bullet"/>
      <w:lvlText w:val="•"/>
      <w:lvlJc w:val="left"/>
      <w:pPr>
        <w:ind w:left="7768" w:hanging="166.0000000000009"/>
      </w:pPr>
      <w:rPr/>
    </w:lvl>
    <w:lvl w:ilvl="8">
      <w:start w:val="0"/>
      <w:numFmt w:val="bullet"/>
      <w:lvlText w:val="•"/>
      <w:lvlJc w:val="left"/>
      <w:pPr>
        <w:ind w:left="8821" w:hanging="166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392" w:hanging="177.99999999999997"/>
      </w:pPr>
      <w:rPr>
        <w:rFonts w:ascii="Times New Roman" w:cs="Times New Roman" w:eastAsia="Times New Roman" w:hAnsi="Times New Roman"/>
        <w:sz w:val="28"/>
        <w:szCs w:val="28"/>
      </w:rPr>
    </w:lvl>
    <w:lvl w:ilvl="1">
      <w:start w:val="0"/>
      <w:numFmt w:val="bullet"/>
      <w:lvlText w:val="•"/>
      <w:lvlJc w:val="left"/>
      <w:pPr>
        <w:ind w:left="1452" w:hanging="178"/>
      </w:pPr>
      <w:rPr/>
    </w:lvl>
    <w:lvl w:ilvl="2">
      <w:start w:val="0"/>
      <w:numFmt w:val="bullet"/>
      <w:lvlText w:val="•"/>
      <w:lvlJc w:val="left"/>
      <w:pPr>
        <w:ind w:left="2505" w:hanging="178"/>
      </w:pPr>
      <w:rPr/>
    </w:lvl>
    <w:lvl w:ilvl="3">
      <w:start w:val="0"/>
      <w:numFmt w:val="bullet"/>
      <w:lvlText w:val="•"/>
      <w:lvlJc w:val="left"/>
      <w:pPr>
        <w:ind w:left="3557" w:hanging="178"/>
      </w:pPr>
      <w:rPr/>
    </w:lvl>
    <w:lvl w:ilvl="4">
      <w:start w:val="0"/>
      <w:numFmt w:val="bullet"/>
      <w:lvlText w:val="•"/>
      <w:lvlJc w:val="left"/>
      <w:pPr>
        <w:ind w:left="4610" w:hanging="178"/>
      </w:pPr>
      <w:rPr/>
    </w:lvl>
    <w:lvl w:ilvl="5">
      <w:start w:val="0"/>
      <w:numFmt w:val="bullet"/>
      <w:lvlText w:val="•"/>
      <w:lvlJc w:val="left"/>
      <w:pPr>
        <w:ind w:left="5663" w:hanging="178"/>
      </w:pPr>
      <w:rPr/>
    </w:lvl>
    <w:lvl w:ilvl="6">
      <w:start w:val="0"/>
      <w:numFmt w:val="bullet"/>
      <w:lvlText w:val="•"/>
      <w:lvlJc w:val="left"/>
      <w:pPr>
        <w:ind w:left="6715" w:hanging="178"/>
      </w:pPr>
      <w:rPr/>
    </w:lvl>
    <w:lvl w:ilvl="7">
      <w:start w:val="0"/>
      <w:numFmt w:val="bullet"/>
      <w:lvlText w:val="•"/>
      <w:lvlJc w:val="left"/>
      <w:pPr>
        <w:ind w:left="7768" w:hanging="178"/>
      </w:pPr>
      <w:rPr/>
    </w:lvl>
    <w:lvl w:ilvl="8">
      <w:start w:val="0"/>
      <w:numFmt w:val="bullet"/>
      <w:lvlText w:val="•"/>
      <w:lvlJc w:val="left"/>
      <w:pPr>
        <w:ind w:left="8821" w:hanging="178"/>
      </w:pPr>
      <w:rPr/>
    </w:lvl>
  </w:abstractNum>
  <w:abstractNum w:abstractNumId="3">
    <w:lvl w:ilvl="0">
      <w:start w:val="0"/>
      <w:numFmt w:val="bullet"/>
      <w:lvlText w:val="–"/>
      <w:lvlJc w:val="left"/>
      <w:pPr>
        <w:ind w:left="392" w:hanging="282"/>
      </w:pPr>
      <w:rPr>
        <w:rFonts w:ascii="Times New Roman" w:cs="Times New Roman" w:eastAsia="Times New Roman" w:hAnsi="Times New Roman"/>
        <w:sz w:val="28"/>
        <w:szCs w:val="28"/>
      </w:rPr>
    </w:lvl>
    <w:lvl w:ilvl="1">
      <w:start w:val="0"/>
      <w:numFmt w:val="bullet"/>
      <w:lvlText w:val="-"/>
      <w:lvlJc w:val="left"/>
      <w:pPr>
        <w:ind w:left="1386" w:hanging="286"/>
      </w:pPr>
      <w:rPr>
        <w:rFonts w:ascii="Courier New" w:cs="Courier New" w:eastAsia="Courier New" w:hAnsi="Courier New"/>
        <w:sz w:val="28"/>
        <w:szCs w:val="28"/>
      </w:rPr>
    </w:lvl>
    <w:lvl w:ilvl="2">
      <w:start w:val="0"/>
      <w:numFmt w:val="bullet"/>
      <w:lvlText w:val="•"/>
      <w:lvlJc w:val="left"/>
      <w:pPr>
        <w:ind w:left="1360" w:hanging="286"/>
      </w:pPr>
      <w:rPr/>
    </w:lvl>
    <w:lvl w:ilvl="3">
      <w:start w:val="0"/>
      <w:numFmt w:val="bullet"/>
      <w:lvlText w:val="•"/>
      <w:lvlJc w:val="left"/>
      <w:pPr>
        <w:ind w:left="1380" w:hanging="286"/>
      </w:pPr>
      <w:rPr/>
    </w:lvl>
    <w:lvl w:ilvl="4">
      <w:start w:val="0"/>
      <w:numFmt w:val="bullet"/>
      <w:lvlText w:val="•"/>
      <w:lvlJc w:val="left"/>
      <w:pPr>
        <w:ind w:left="2743" w:hanging="286"/>
      </w:pPr>
      <w:rPr/>
    </w:lvl>
    <w:lvl w:ilvl="5">
      <w:start w:val="0"/>
      <w:numFmt w:val="bullet"/>
      <w:lvlText w:val="•"/>
      <w:lvlJc w:val="left"/>
      <w:pPr>
        <w:ind w:left="4107" w:hanging="286.00000000000045"/>
      </w:pPr>
      <w:rPr/>
    </w:lvl>
    <w:lvl w:ilvl="6">
      <w:start w:val="0"/>
      <w:numFmt w:val="bullet"/>
      <w:lvlText w:val="•"/>
      <w:lvlJc w:val="left"/>
      <w:pPr>
        <w:ind w:left="5471" w:hanging="286"/>
      </w:pPr>
      <w:rPr/>
    </w:lvl>
    <w:lvl w:ilvl="7">
      <w:start w:val="0"/>
      <w:numFmt w:val="bullet"/>
      <w:lvlText w:val="•"/>
      <w:lvlJc w:val="left"/>
      <w:pPr>
        <w:ind w:left="6835" w:hanging="286"/>
      </w:pPr>
      <w:rPr/>
    </w:lvl>
    <w:lvl w:ilvl="8">
      <w:start w:val="0"/>
      <w:numFmt w:val="bullet"/>
      <w:lvlText w:val="•"/>
      <w:lvlJc w:val="left"/>
      <w:pPr>
        <w:ind w:left="8198" w:hanging="286.0000000000009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338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