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tabs>
          <w:tab w:val="left" w:leader="none" w:pos="2158"/>
        </w:tabs>
        <w:spacing w:line="242" w:lineRule="auto"/>
        <w:ind w:left="0" w:right="1892" w:firstLine="0"/>
        <w:jc w:val="center"/>
        <w:rPr/>
      </w:pPr>
      <w:r w:rsidDel="00000000" w:rsidR="00000000" w:rsidRPr="00000000">
        <w:rPr>
          <w:rtl w:val="0"/>
        </w:rPr>
        <w:t xml:space="preserve">                      Состояние загрязнения почв тяжёлыми металлами Восточно-Казахстанской области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402" w:firstLine="70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 весенний период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городе Усть-Каменогорске в пробах почвы, отобранных в различных районах, содержание хрома находилось в пределах 1,60-2,30 мг/кг, цинка –425,80-838,80 мг/кг, свинца –207,2-387,4 мг/кг, меди – 1,80-11,0 мг/кг и кадмий – 4,0-14,6 мг/кг.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12" w:right="408" w:firstLine="70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различных районах города концентрации металлов, превышающих ПДК, составили: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87"/>
        </w:tabs>
        <w:spacing w:after="0" w:before="0" w:line="240" w:lineRule="auto"/>
        <w:ind w:left="112" w:right="402" w:firstLine="708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 пересечении улицы Тракторной и проспекта Абая концентрация свинца – 12,1 ПДК, меди – 1,1 ПДК, цинка – 36,5 ПДК;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17"/>
        </w:tabs>
        <w:spacing w:after="0" w:before="0" w:line="240" w:lineRule="auto"/>
        <w:ind w:left="112" w:right="402" w:firstLine="708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 пересечении улиц Рабочая и Бажова (от ТОО "Казцинк" 1 км) концентрация цинка – 21,9 ПДК, свинца – 7,7 ПДК;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7"/>
        </w:tabs>
        <w:spacing w:after="0" w:before="0" w:line="240" w:lineRule="auto"/>
        <w:ind w:left="112" w:right="403" w:firstLine="708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районе автомагистрали проспекта Н. Назарбаева (район ГАИ, 3 км на ЮЗ от ОАО "КазЦинк") концентрация свинца – 6,5 ПДК, меди – 1,5 ПДК, цинка – 9,9 ПДК;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38"/>
        </w:tabs>
        <w:spacing w:after="0" w:before="0" w:line="240" w:lineRule="auto"/>
        <w:ind w:left="112" w:right="405" w:firstLine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районе парка "Голубые озера" (3 км от ТОО "Казцинк") концентрация свинца – 7,0 ПДК, меди – 3,2 ПДК, цинка – 18,5 ПДК;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0"/>
        </w:tabs>
        <w:spacing w:after="0" w:before="0" w:line="240" w:lineRule="auto"/>
        <w:ind w:left="112" w:right="402" w:firstLine="708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 территории школы №34 (3 км от ТОО "Казцинк") концентрация свинца – 8,1 ПДК, меди – 3,7 ПДК, цинка – 18,5 ПДК;</w:t>
      </w:r>
    </w:p>
    <w:p w:rsidR="00000000" w:rsidDel="00000000" w:rsidP="00000000" w:rsidRDefault="00000000" w:rsidRPr="00000000" w14:paraId="0000000A">
      <w:pPr>
        <w:spacing w:before="1" w:lineRule="auto"/>
        <w:ind w:left="112" w:right="332" w:firstLine="708"/>
        <w:rPr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За осенний период в городе Усть-Каменогорске </w:t>
      </w:r>
      <w:r w:rsidDel="00000000" w:rsidR="00000000" w:rsidRPr="00000000">
        <w:rPr>
          <w:sz w:val="28"/>
          <w:szCs w:val="28"/>
          <w:rtl w:val="0"/>
        </w:rPr>
        <w:t xml:space="preserve">в пробах почвы, отобранных в различных районах, содержание хрома находилось в пределах 0,2 – 1,1 мг/кг, цинка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1" w:lineRule="auto"/>
        <w:ind w:left="1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–86,6- 906,4 мг/кг, свинца – 52,4-874,6 мг/кг и меди – 0,33-41,6 мг/кг.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332" w:firstLine="70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различных районах города концентрации металлов, превышающих ПДК, составили: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87"/>
        </w:tabs>
        <w:spacing w:after="0" w:before="0" w:line="240" w:lineRule="auto"/>
        <w:ind w:left="112" w:right="402" w:firstLine="708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 пересечении улицы Тракторной и проспекта Абая концентрация свинца – 27,3 ПДК, меди – 13,9 ПДК, цинка – 39,4 ПДК;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17"/>
        </w:tabs>
        <w:spacing w:after="0" w:before="1" w:line="240" w:lineRule="auto"/>
        <w:ind w:left="112" w:right="403" w:firstLine="708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 пересечении улиц Рабочая и Бажова (от ТОО "Казцинк" 1 км) концентрация меди – 25,2 ПДК, цинка – 30,6 ПДК, свинца – 121,1 ПДК;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7"/>
        </w:tabs>
        <w:spacing w:after="0" w:before="0" w:line="240" w:lineRule="auto"/>
        <w:ind w:left="112" w:right="403" w:firstLine="708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районе автомагистрали проспекта Н. Назарбаева (район ГАИ, 3 км на ЮЗ от ТОО "КазЦинк") концентрация свинца –10,1 ПДК, меди – 2,5 ПДК, цинка – 13,3 ПДК;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68"/>
        </w:tabs>
        <w:spacing w:after="0" w:before="0" w:line="321" w:lineRule="auto"/>
        <w:ind w:left="967" w:right="0" w:hanging="147.00000000000003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районе парка "Голубые озера" (3 км от ТОО "Казцинк") концентрация цинка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322" w:lineRule="auto"/>
        <w:ind w:left="1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3,8 ПДК, свинца – 1,6 ПДК;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332" w:firstLine="70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на территории школы №34 (3 км от ТОО "Казцинк") концентрация свинца – 8,7 ПДК, меди – 1,1 ПДК, цинка – 36,5 ПДК;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2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пробах почвы содержание хрома находилось в пределах нормы.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401" w:firstLine="708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весенний период в городе Риддер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пробах почвы, отобранных в различных районах, концентрации хрома находилось в пределах 2,5-5,6 мг/кг, цинка – 36,1- 1127,9 мг/кг, свинца – 95,5-449,6 мг/кг, меди – 0,4-27,2 мг/кг, кадмий – 2,2-8,0 мг/кг. В районе парковой зоны (расстояние от цинкового завода 1,7 км на запад, от свинцового завода 2 км направление ЮЗ) концентрации свинца – 3,0 ПДК, цинка –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22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1,6 ПДК;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410" w:firstLine="70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районе границы СЗЗ Цинкового завода (от Цинкового завода 1км направление З, от Свинцового завода 3,5 км направление ЮЗ) концентрации свинца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1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13,7 ПДК, меди – 7,4 ПДК, цинка – 48,0 ПДК;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413" w:firstLine="70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районе границы СЗЗ Свинцового завода (расстояние от Цинкового завода 3,5 км направление СВ, от Свинцового завода 0,8 км направление В) концентрации свинца – 14,1 ПДК, меди – 9,1 ПДК, цинка – 49,0 ПДК;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12" w:right="404" w:firstLine="70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районе школы №3 (расстояние от Свинцового завода 2,9 км направление ЮЗ, от Цинкового завода 4 км направление ЮЗ) концентрации свинца – 6,6 ПДК; меди – 2,2 ПДК; цинка – 23,9 ПДК;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405" w:firstLine="70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районе наиболее загруженной автомагистрали 1-й район (от Цинкового завода 3 км направление Ю, от Свинцового завода 7,5 км направление Ю) концентрации свинца – 3,0 ПДК, цинка – 1,7 ПДК.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2" w:lineRule="auto"/>
        <w:ind w:left="82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пробах почвы содержание хрома находилось в пределах нормы.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403" w:firstLine="70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осенний в городе Риддер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пробах почвы, отобранных в различных районах, концентрации хрома находилось в пределах 0,41-108,5 мг/кг, цинка – 27,1-1145,3 мг/кг, свинца –80,5-669,3 мг/кг, меди – 0,14-25,2 мг/кг, кадмий – 1,3-17,6 мг/кг.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1" w:lineRule="auto"/>
        <w:ind w:left="82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районе парковой зоны концентрации свинца – 2,5 ПДК, цинка – 1,2 ПДК;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" w:lineRule="auto"/>
        <w:ind w:left="112" w:right="402" w:firstLine="70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районе границы СЗЗ Цинкового завода концентрации свинца – 20,9 ПДК, меди – 5,8 ПДК, цинка – 49,8 ПДК;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402" w:firstLine="70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районе границы СЗЗ Свинцового завода концентрации свинца – 14,4 ПДК, цинка – 48,8 ПДК;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1" w:lineRule="auto"/>
        <w:ind w:left="82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районе школы №3 концентрации свинца – 10,1 ПДК, меди – 2,4 ПДК, цинка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2" w:lineRule="auto"/>
        <w:ind w:left="112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21,5 ПДК;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402" w:firstLine="70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районе наиболее загруженной магистрали концентрации свинца – 3,4 ПДК, меди – 8,4 ПДК, цинка – 1,3 ПДК.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2" w:lineRule="auto"/>
        <w:ind w:left="82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пробах почвы содержание хрома находилось в пределах нормы.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403" w:firstLine="70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весенний период в городе Семей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пробах почвы, отобранных в различных районах, концентрации хрома находилось в пределах 0,05-4,5 мг/кг, цинка – 1,8-27,4 мг/кг, свинца – 12,9-45,02 мг/кг, меди – 0,16-5,0 мг/кг, кадмий – 0,10-0,45 мг/кг.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" w:right="411" w:firstLine="70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районе СЗЗ «Семейцемент» (ул. Глинки раст. От ист. 1км) концентрация меди – 1,7 ПДК, цинка – 1,2 ПДК;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2" w:lineRule="auto"/>
        <w:ind w:left="82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районе пр. Ауэзова концентрация свинца – 1,4 ПДК;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2" w:lineRule="auto"/>
        <w:ind w:left="82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пробах почвы содержание хрома находилось в пределах нормы.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411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 территории автомагистрали ул. Кабанбай Батыра, школы №3 и центрального парка концентраций тяжелых металлов, превышающих ПДК, не обнаружено.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404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осенний период в городе Семей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пробах почвы, отобранных в различных районах, концентрации хрома находилось в пределах 0,2-0,64 мг/кг, цинка –3,6-23,1 мг/кг, свинца –5,5-45,72 мг/кг, меди –0,06-1,9 мг/кг, кадмий –0,02-0,36 мг/кг.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41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районе СЗЗ «Семейцемент» (ул. Глинки раст. от ист. 1км) концентрация цинка – 1,0 ПДК;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402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районе пр. Ауэзова (от ТЭЦ 1 км) концентрация свинца – 1,4 ПДК, меди – 1,0 ПДК;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409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 территории автомагистрали ул. Кабанбай Батыра, школы №3 и центрального парка концентраций тяжелых металлов, превышающих ПДК, не обнаружено.</w:t>
      </w:r>
    </w:p>
    <w:sectPr>
      <w:footerReference r:id="rId6" w:type="default"/>
      <w:pgSz w:h="16840" w:w="11910" w:orient="portrait"/>
      <w:pgMar w:bottom="1240" w:top="1320" w:left="1020" w:right="300" w:header="0" w:footer="104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column">
                <wp:posOffset>3223578</wp:posOffset>
              </wp:positionH>
              <wp:positionV relativeFrom="paragraph">
                <wp:posOffset>9883458</wp:posOffset>
              </wp:positionV>
              <wp:extent cx="319405" cy="18732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838760" y="3691100"/>
                        <a:ext cx="309880" cy="177800"/>
                      </a:xfrm>
                      <a:custGeom>
                        <a:rect b="b" l="l" r="r" t="t"/>
                        <a:pathLst>
                          <a:path extrusionOk="0" h="177800" w="309880">
                            <a:moveTo>
                              <a:pt x="0" y="0"/>
                            </a:moveTo>
                            <a:lnTo>
                              <a:pt x="0" y="177800"/>
                            </a:lnTo>
                            <a:lnTo>
                              <a:pt x="309880" y="177800"/>
                            </a:lnTo>
                            <a:lnTo>
                              <a:pt x="309880" y="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64.0000057220459"/>
                            <w:ind w:left="60" w:right="0" w:firstLine="6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 PAGE </w:t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214</w:t>
                          </w:r>
                        </w:p>
                      </w:txbxContent>
                    </wps:txbx>
                    <wps:bodyPr anchorCtr="0" anchor="t" bIns="38100" lIns="88900" spcFirstLastPara="1" rIns="88900" wrap="square" tIns="381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column">
                <wp:posOffset>3223578</wp:posOffset>
              </wp:positionH>
              <wp:positionV relativeFrom="paragraph">
                <wp:posOffset>9883458</wp:posOffset>
              </wp:positionV>
              <wp:extent cx="319405" cy="187325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9405" cy="1873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112" w:hanging="166.00000000000003"/>
      </w:pPr>
      <w:rPr>
        <w:rFonts w:ascii="Times New Roman" w:cs="Times New Roman" w:eastAsia="Times New Roman" w:hAnsi="Times New Roman"/>
        <w:sz w:val="28"/>
        <w:szCs w:val="28"/>
      </w:rPr>
    </w:lvl>
    <w:lvl w:ilvl="1">
      <w:start w:val="0"/>
      <w:numFmt w:val="bullet"/>
      <w:lvlText w:val="•"/>
      <w:lvlJc w:val="left"/>
      <w:pPr>
        <w:ind w:left="1166" w:hanging="166"/>
      </w:pPr>
      <w:rPr/>
    </w:lvl>
    <w:lvl w:ilvl="2">
      <w:start w:val="0"/>
      <w:numFmt w:val="bullet"/>
      <w:lvlText w:val="•"/>
      <w:lvlJc w:val="left"/>
      <w:pPr>
        <w:ind w:left="2213" w:hanging="165.99999999999977"/>
      </w:pPr>
      <w:rPr/>
    </w:lvl>
    <w:lvl w:ilvl="3">
      <w:start w:val="0"/>
      <w:numFmt w:val="bullet"/>
      <w:lvlText w:val="•"/>
      <w:lvlJc w:val="left"/>
      <w:pPr>
        <w:ind w:left="3259" w:hanging="166.00000000000045"/>
      </w:pPr>
      <w:rPr/>
    </w:lvl>
    <w:lvl w:ilvl="4">
      <w:start w:val="0"/>
      <w:numFmt w:val="bullet"/>
      <w:lvlText w:val="•"/>
      <w:lvlJc w:val="left"/>
      <w:pPr>
        <w:ind w:left="4306" w:hanging="166"/>
      </w:pPr>
      <w:rPr/>
    </w:lvl>
    <w:lvl w:ilvl="5">
      <w:start w:val="0"/>
      <w:numFmt w:val="bullet"/>
      <w:lvlText w:val="•"/>
      <w:lvlJc w:val="left"/>
      <w:pPr>
        <w:ind w:left="5353" w:hanging="166.0000000000009"/>
      </w:pPr>
      <w:rPr/>
    </w:lvl>
    <w:lvl w:ilvl="6">
      <w:start w:val="0"/>
      <w:numFmt w:val="bullet"/>
      <w:lvlText w:val="•"/>
      <w:lvlJc w:val="left"/>
      <w:pPr>
        <w:ind w:left="6399" w:hanging="166"/>
      </w:pPr>
      <w:rPr/>
    </w:lvl>
    <w:lvl w:ilvl="7">
      <w:start w:val="0"/>
      <w:numFmt w:val="bullet"/>
      <w:lvlText w:val="•"/>
      <w:lvlJc w:val="left"/>
      <w:pPr>
        <w:ind w:left="7446" w:hanging="166"/>
      </w:pPr>
      <w:rPr/>
    </w:lvl>
    <w:lvl w:ilvl="8">
      <w:start w:val="0"/>
      <w:numFmt w:val="bullet"/>
      <w:lvlText w:val="•"/>
      <w:lvlJc w:val="left"/>
      <w:pPr>
        <w:ind w:left="8493" w:hanging="166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ru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058" w:hanging="2351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lpwstr>2024-09-18T00:00:00Z</vt:lpwstr>
  </property>
</Properties>
</file>