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tabs>
          <w:tab w:val="left" w:leader="none" w:pos="1572"/>
        </w:tabs>
        <w:spacing w:before="1" w:line="240" w:lineRule="auto"/>
        <w:ind w:right="690" w:firstLine="433"/>
        <w:jc w:val="left"/>
        <w:rPr/>
      </w:pPr>
      <w:r w:rsidDel="00000000" w:rsidR="00000000" w:rsidRPr="00000000">
        <w:rPr>
          <w:rtl w:val="0"/>
        </w:rPr>
        <w:t xml:space="preserve">Состояние загрязнения почв тяжёлыми металлами Восточно- Казахстанской области за осенний период 2022 года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" w:right="685" w:firstLine="7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городе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Усть-Каменогорске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почвы, отобранных в различных районах, содержание хрома находилось в пределах 0,26-2,65 мг/кг, цинка – 6,80- 277,50 мг/кг, кадмия – 0,80-5,80 мг/кг, свинца – 79,10-476,50 мг/кг и меди – 0,53- 22,70 мг/кг.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" w:right="686" w:firstLine="7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пересечении улицы Тракторной и проспекта Абая (от пром.площадки ТОО «Казцинк» 1 км на ЮВ) концентрация свинца – 14,9- ПДК, меди – 7,4 ПДК, цинка – 8,8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" w:right="686" w:firstLine="71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на пересечении улиц Рабочая и Бажова (от ТОО «Казцинк» 1 км) концентрация свинца – 11,3 ПДК, меди – 2,7 ПДК, цинка – 12,1 ПДК. Концентрации остальных тяжелых металлов, превышающих ПДК не обнаружено. В районе автомагистрали проспекта Н. Назарбаева, район ГАИ (от ТОО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2" w:right="686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«Казцинк» 3 км на ЮЗ) концентрация свинца – 2,5 ПДК, цинка – 1,5 ПДК. Концентрации остальных тяжелых металлов, превышающих ПДК не обнаружено. В районе парка «Голубые озера» (3 км от ТОО «Казцинк») концентрация свинца – 2,6 ПДК, цинка – 2,4 ПДК. Концентрации остальных тяжелых металлов,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" w:lineRule="auto"/>
        <w:ind w:left="433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превышающих ПДК не обнаружено.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" w:right="692" w:firstLine="7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территории школы №34 (3 км от ТОО «Казцинк») концентрация свинца – 8,5 ПДК, меди – 1,6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3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 содержание хрома находилось в пределах нормы.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" w:right="683" w:firstLine="7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городе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Риддер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почвы, отобранных в различных районах, концентрации хрома находилось в пределах 1,18-1,95 мг/кг, цинка – 23,80-305,50 мг/кг, свинца – 280,20-1055,60 мг/кг, меди – 0,93-10,60 мг/кг, кадмий – 2,40-8,80 мг/кг.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" w:right="683" w:firstLine="7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парковой зоны (расстояние от Цинкового завода 1,7 км на запад, от Свинцового завода 2 км на ЮЗ) концентрации свинца – 25,4 ПДК, меди – 1,2 ПДК, цинка – 12,4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" w:right="686" w:firstLine="7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границы СЗЗ Цинкового завода (расстояние от Свинцового завода 2,9 км на ЮЗ, от Цинкового завода 4 км на ЮЗ) концентрации свинца – 33,0 ПДК, меди – 3,5 ПДК, цинка – 13,3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" w:right="691" w:firstLine="7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границы СЗЗ Свинцового завода (расстояние от Цинкового завода 3,5 км на СВ, от Свинцового завода 0,8 км на В) концентрации свинца – 8,8 ПДК, меди – 1,1 ПДК, цинка – 12,0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" w:right="690" w:firstLine="7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школы №3 (расстояние от Свинцового завода 2,9 км на ЮЗ, от Цинкового завода 4 км на ЮЗ) концентрации свинца – 29,6 ПДК, меди 2,9 ПДК, цинка – 12,9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" w:right="692" w:firstLine="7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наиболее загруженной магистрали (расстояние от Цинкового завода 3,0 км на ЮГ, от Свинцового завода 7,5 км на ЮГ) концентрации свинца – 9,5 ПДК, цинка – 1,0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" w:right="691" w:firstLine="71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городе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Семей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почвы, отобранных в различных районах, концентрации хрома находилось в пределах 0,55-0,88 мг/кг, цинка – 2,10-10,40 мг/кг, свинца – 25,60-65,66 мг/кг, меди – 0,68-2,40 мг/кг, кадмий – 0,12-0,62 мг/кг. В районе СЗЗ «Семейцемент» (ул. Глинки раст. от ист. 1 км) концентрация свинца – 2,1 ПДК. Концентрации остальных тяжелых металлов, превышающих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322" w:lineRule="auto"/>
        <w:ind w:left="433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ПДК не обнаружено.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" w:right="686" w:firstLine="71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районе Ауэзова (от ТЭЦ 1 км) концентрация свинца – 1,1 ПДК. Концентрации остальных тяжелых металлов, превышающих ПДК не обнаружено. В районе школы №3 (2 км от центральной котельной) концентрация свинца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" w:right="6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1,1 ПДК. Концентрации остальных тяжелых металлов, превышающих ПДК не обнаружено.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" w:right="684" w:firstLine="71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территории, центрального парка (3 км от источника загрязнения) и в районе автомагистрали ул. Кабанбай батыра концентрации тяжелых металлов, превышающих ПДК не обнаружено.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143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пробах почвы содержание хрома находилось в пределах нормы.</w:t>
      </w:r>
    </w:p>
    <w:sectPr>
      <w:footerReference r:id="rId6" w:type="default"/>
      <w:pgSz w:h="16840" w:w="11910" w:orient="portrait"/>
      <w:pgMar w:bottom="1240" w:top="920" w:left="700" w:right="300" w:header="0" w:footer="104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3374708</wp:posOffset>
              </wp:positionH>
              <wp:positionV relativeFrom="paragraph">
                <wp:posOffset>9886633</wp:posOffset>
              </wp:positionV>
              <wp:extent cx="238125" cy="1873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676200" y="3691100"/>
                        <a:ext cx="228600" cy="177800"/>
                      </a:xfrm>
                      <a:custGeom>
                        <a:rect b="b" l="l" r="r" t="t"/>
                        <a:pathLst>
                          <a:path extrusionOk="0" h="177800" w="228600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228600" y="177800"/>
                            </a:lnTo>
                            <a:lnTo>
                              <a:pt x="22860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34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3374708</wp:posOffset>
              </wp:positionH>
              <wp:positionV relativeFrom="paragraph">
                <wp:posOffset>9886633</wp:posOffset>
              </wp:positionV>
              <wp:extent cx="238125" cy="18732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8125" cy="187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19" w:lineRule="auto"/>
      <w:ind w:left="433"/>
      <w:jc w:val="both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2024-09-18T00:00:00Z</vt:lpwstr>
  </property>
</Properties>
</file>