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Таблица 1:  Динамика изменения уровня загрязнения атмосферы (ИЗА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14"/>
          <w:szCs w:val="14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) промышленных районов Восточно- Казахстанской области 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Layout w:type="fixed"/>
        <w:tblLook w:val="0400"/>
      </w:tblPr>
      <w:tblGrid>
        <w:gridCol w:w="1269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97"/>
        <w:gridCol w:w="426"/>
        <w:gridCol w:w="1523"/>
        <w:tblGridChange w:id="0">
          <w:tblGrid>
            <w:gridCol w:w="1269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97"/>
            <w:gridCol w:w="426"/>
            <w:gridCol w:w="152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 Населенный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ИЗА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2"/>
                <w:szCs w:val="12"/>
                <w:highlight w:val="yellow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Отрасль промышленности, исключающая влияние загрязнения воздуха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18"/>
                <w:szCs w:val="18"/>
                <w:highlight w:val="yellow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2024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6,6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7,3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металлургия, энергетика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металлургия, энергетика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Глубокое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3,6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bookmarkStart w:colFirst="0" w:colLast="0" w:name="_z3j1h06nm80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highlight w:val="yellow"/>
                <w:rtl w:val="0"/>
              </w:rPr>
              <w:t xml:space="preserve">цветная металлургия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