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 6: Выбросы загрязняющих веществ в атмосферу от стационарных источников загрязнения (газообразные и жидкие), тыс. Тонн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22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88"/>
        <w:gridCol w:w="707"/>
        <w:tblGridChange w:id="0">
          <w:tblGrid>
            <w:gridCol w:w="1588"/>
            <w:gridCol w:w="70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населенный пункт</w:t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Өскемен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45,4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Риддер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6,3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Глубокое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3,1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Зайсан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0,6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Алтай (Зырян)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7,6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Катонқарағай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0,05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jc w:val="center"/>
              <w:rPr/>
            </w:pPr>
            <w:bookmarkStart w:colFirst="0" w:colLast="0" w:name="_amqcduz4e1d" w:id="0"/>
            <w:bookmarkEnd w:id="0"/>
            <w:r w:rsidDel="00000000" w:rsidR="00000000" w:rsidRPr="00000000">
              <w:rPr>
                <w:rtl w:val="0"/>
              </w:rPr>
              <w:t xml:space="preserve">Күршім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0,6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Тарбағатай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0,4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Улан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1,6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Шемонаиха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1,9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Самар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0,2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KZ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