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4: Выбросы загрязняющих веществ в атмосферу от стационарных источников загрязнения (общий объем), тыс. тонн</w:t>
      </w:r>
      <w:r w:rsidDel="00000000" w:rsidR="00000000" w:rsidRPr="00000000">
        <w:rPr>
          <w:rtl w:val="0"/>
        </w:rPr>
      </w:r>
    </w:p>
    <w:tbl>
      <w:tblPr>
        <w:tblStyle w:val="Table1"/>
        <w:tblW w:w="22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8"/>
        <w:gridCol w:w="707"/>
        <w:tblGridChange w:id="0">
          <w:tblGrid>
            <w:gridCol w:w="1588"/>
            <w:gridCol w:w="7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населенный пункт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Оскемен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49,7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Риддер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Глубоковское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Алтай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9,5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Шемонаиха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Зайсан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Катонқарағай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bookmarkStart w:colFirst="0" w:colLast="0" w:name="_fu3yr0hri7zp" w:id="0"/>
            <w:bookmarkEnd w:id="0"/>
            <w:r w:rsidDel="00000000" w:rsidR="00000000" w:rsidRPr="00000000">
              <w:rPr>
                <w:rtl w:val="0"/>
              </w:rPr>
              <w:t xml:space="preserve">Күршім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1,0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Тарбағатай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Улан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Самар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0,3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KZ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