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5: Выбросы загрязняющих веществ в атмосферу от стационарных источников загрязнения (твердые), тыс. тонн</w:t>
      </w:r>
      <w:r w:rsidDel="00000000" w:rsidR="00000000" w:rsidRPr="00000000">
        <w:rPr>
          <w:rtl w:val="0"/>
        </w:rPr>
      </w:r>
    </w:p>
    <w:tbl>
      <w:tblPr>
        <w:tblStyle w:val="Table1"/>
        <w:tblW w:w="2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8"/>
        <w:gridCol w:w="756"/>
        <w:tblGridChange w:id="0">
          <w:tblGrid>
            <w:gridCol w:w="1588"/>
            <w:gridCol w:w="7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населенный пункт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Оскемен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Глубоковское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Алтай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Шемонаиха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Зайсан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Катонқарағай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jf2jrgq17rrn" w:id="0"/>
            <w:bookmarkEnd w:id="0"/>
            <w:r w:rsidDel="00000000" w:rsidR="00000000" w:rsidRPr="00000000">
              <w:rPr>
                <w:rtl w:val="0"/>
              </w:rPr>
              <w:t xml:space="preserve">Күршім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Тарбағатай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Улан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Самар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KZ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