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features"/>
    <w:p>
      <w:pPr>
        <w:pStyle w:val="Heading1"/>
      </w:pPr>
      <w:r>
        <w:t xml:space="preserve">Features</w:t>
      </w:r>
    </w:p>
    <w:bookmarkStart w:id="9" w:name="overview"/>
    <w:p>
      <w:pPr>
        <w:pStyle w:val="Heading2"/>
      </w:pPr>
      <w:r>
        <w:t xml:space="preserve">Overview</w:t>
      </w:r>
    </w:p>
    <w:p>
      <w:pPr>
        <w:pStyle w:val="FirstParagraph"/>
      </w:pPr>
      <w:r>
        <w:t xml:space="preserve">The Partner Management Services (PMS) empowers organizations to seamlessly integrate with the MOSIP ecosystem through a comprehensive partner onboarding and management platform. PMS addresses the critical challenge of securely managing external partnerships while maintaining the integrity and trust of national identity systems.</w:t>
      </w:r>
    </w:p>
    <w:p>
      <w:pPr>
        <w:pStyle w:val="BodyText"/>
      </w:pPr>
      <w:r>
        <w:rPr>
          <w:b/>
          <w:bCs/>
        </w:rPr>
        <w:t xml:space="preserve">Key Challenge Solved</w:t>
      </w:r>
      <w:r>
        <w:t xml:space="preserve">: Traditional identity systems struggle with complex partner integrations, manual certificate management, and inconsistent policy enforcement. PMS transforms this complexity into streamlined, automated workflows that reduce onboarding time from weeks to days while ensuring enterprise-grade security and compliance.</w:t>
      </w:r>
    </w:p>
    <w:p>
      <w:pPr>
        <w:pStyle w:val="BodyText"/>
      </w:pPr>
      <w:r>
        <w:rPr>
          <w:b/>
          <w:bCs/>
        </w:rPr>
        <w:t xml:space="preserve">Collective Benefits</w:t>
      </w:r>
      <w:r>
        <w:t xml:space="preserve">: Organizations can rapidly deploy identity services, maintain regulatory compliance, automate certificate lifecycle management, and scale partner ecosystems efficiently - all through a unified, user-friendly interface that reduces operational overhead by up to 70%.</w:t>
      </w:r>
    </w:p>
    <w:bookmarkEnd w:id="9"/>
    <w:bookmarkStart w:id="32" w:name="core-features"/>
    <w:p>
      <w:pPr>
        <w:pStyle w:val="Heading2"/>
      </w:pPr>
      <w:r>
        <w:t xml:space="preserve">Core Features</w:t>
      </w:r>
    </w:p>
    <w:bookmarkStart w:id="14" w:name="partner-onboarding-and-registration"/>
    <w:p>
      <w:pPr>
        <w:pStyle w:val="Heading3"/>
      </w:pPr>
      <w:r>
        <w:t xml:space="preserve">1. Partner Onboarding and Registration</w:t>
      </w:r>
    </w:p>
    <w:p>
      <w:pPr>
        <w:pStyle w:val="FirstParagraph"/>
      </w:pPr>
      <w:r>
        <w:rPr>
          <w:i/>
          <w:iCs/>
        </w:rPr>
        <w:t xml:space="preserve">Enable external organizations to join the MOSIP ecosystem through secure, self-service registration</w:t>
      </w:r>
    </w:p>
    <w:bookmarkStart w:id="11" w:name="X2d3dcab5f072d4475130462a509a83fd9d1365f"/>
    <w:p>
      <w:pPr>
        <w:pStyle w:val="Heading4"/>
      </w:pPr>
      <w:r>
        <w:t xml:space="preserve">Self-Service Partner Registration →</w:t>
      </w:r>
      <w:r>
        <w:t xml:space="preserve"> </w:t>
      </w:r>
      <w:hyperlink r:id="rId10">
        <w:r>
          <w:rPr>
            <w:rStyle w:val="Hyperlink"/>
          </w:rPr>
          <w:t xml:space="preserve">Partner Registration Guide</w:t>
        </w:r>
      </w:hyperlink>
    </w:p>
    <w:p>
      <w:pPr>
        <w:pStyle w:val="FirstParagraph"/>
      </w:pPr>
      <w:r>
        <w:t xml:space="preserve">Partners can independently register and onboard with minimal manual intervention, accelerating time-to-market for identity services.</w:t>
      </w:r>
    </w:p>
    <w:p>
      <w:pPr>
        <w:pStyle w:val="Compact"/>
        <w:numPr>
          <w:ilvl w:val="0"/>
          <w:numId w:val="1001"/>
        </w:numPr>
      </w:pPr>
      <w:r>
        <w:rPr>
          <w:b/>
          <w:bCs/>
        </w:rPr>
        <w:t xml:space="preserve">Automated Registration Workflow</w:t>
      </w:r>
      <w:r>
        <w:t xml:space="preserve">: Streamlined multi-step registration process with real-time validation and automated approval workflows</w:t>
      </w:r>
    </w:p>
    <w:p>
      <w:pPr>
        <w:pStyle w:val="Compact"/>
        <w:numPr>
          <w:ilvl w:val="0"/>
          <w:numId w:val="1001"/>
        </w:numPr>
      </w:pPr>
      <w:r>
        <w:rPr>
          <w:b/>
          <w:bCs/>
        </w:rPr>
        <w:t xml:space="preserve">Organization Profile Management</w:t>
      </w:r>
      <w:r>
        <w:t xml:space="preserve">: Comprehensive partner organization details with document management and contact information maintenance</w:t>
      </w:r>
    </w:p>
    <w:p>
      <w:pPr>
        <w:pStyle w:val="Compact"/>
        <w:numPr>
          <w:ilvl w:val="0"/>
          <w:numId w:val="1001"/>
        </w:numPr>
      </w:pPr>
      <w:r>
        <w:rPr>
          <w:b/>
          <w:bCs/>
        </w:rPr>
        <w:t xml:space="preserve">Terms and Conditions Management</w:t>
      </w:r>
      <w:r>
        <w:t xml:space="preserve">: Built-in consent management with clear data usage policies and compliance tracking</w:t>
      </w:r>
    </w:p>
    <w:p>
      <w:pPr>
        <w:pStyle w:val="Compact"/>
        <w:numPr>
          <w:ilvl w:val="0"/>
          <w:numId w:val="1001"/>
        </w:numPr>
      </w:pPr>
      <w:r>
        <w:rPr>
          <w:b/>
          <w:bCs/>
        </w:rPr>
        <w:t xml:space="preserve">Email Verification and Security</w:t>
      </w:r>
      <w:r>
        <w:t xml:space="preserve">: Multi-factor authentication setup with secure password management and account recovery options</w:t>
      </w:r>
    </w:p>
    <w:bookmarkEnd w:id="11"/>
    <w:bookmarkStart w:id="13" w:name="X7ac0b8a631a968fb967620ef52bf9a3544d41a5"/>
    <w:p>
      <w:pPr>
        <w:pStyle w:val="Heading4"/>
      </w:pPr>
      <w:r>
        <w:t xml:space="preserve">Multi-Partner Type Support →</w:t>
      </w:r>
      <w:r>
        <w:t xml:space="preserve"> </w:t>
      </w:r>
      <w:hyperlink r:id="rId12">
        <w:r>
          <w:rPr>
            <w:rStyle w:val="Hyperlink"/>
          </w:rPr>
          <w:t xml:space="preserve">Partner Types Overview</w:t>
        </w:r>
      </w:hyperlink>
    </w:p>
    <w:p>
      <w:pPr>
        <w:pStyle w:val="FirstParagraph"/>
      </w:pPr>
      <w:r>
        <w:t xml:space="preserve">Comprehensive support for diverse partner organizations across the identity ecosystem.</w:t>
      </w:r>
    </w:p>
    <w:p>
      <w:pPr>
        <w:pStyle w:val="Compact"/>
        <w:numPr>
          <w:ilvl w:val="0"/>
          <w:numId w:val="1002"/>
        </w:numPr>
      </w:pPr>
      <w:r>
        <w:rPr>
          <w:b/>
          <w:bCs/>
        </w:rPr>
        <w:t xml:space="preserve">MISP Partners</w:t>
      </w:r>
      <w:r>
        <w:t xml:space="preserve">: Mobile Identity Service Providers offering identity verification through mobile channels and digital applications</w:t>
      </w:r>
    </w:p>
    <w:p>
      <w:pPr>
        <w:pStyle w:val="Compact"/>
        <w:numPr>
          <w:ilvl w:val="0"/>
          <w:numId w:val="1002"/>
        </w:numPr>
      </w:pPr>
      <w:r>
        <w:rPr>
          <w:b/>
          <w:bCs/>
        </w:rPr>
        <w:t xml:space="preserve">Authentication Partners</w:t>
      </w:r>
      <w:r>
        <w:t xml:space="preserve">: Organizations providing identity authentication services with biometric and credential verification capabilities</w:t>
      </w:r>
    </w:p>
    <w:p>
      <w:pPr>
        <w:pStyle w:val="Compact"/>
        <w:numPr>
          <w:ilvl w:val="0"/>
          <w:numId w:val="1002"/>
        </w:numPr>
      </w:pPr>
      <w:r>
        <w:rPr>
          <w:b/>
          <w:bCs/>
        </w:rPr>
        <w:t xml:space="preserve">Device Providers</w:t>
      </w:r>
      <w:r>
        <w:t xml:space="preserve">: Hardware manufacturers supplying biometric capture devices with SBI (Secure Biometric Interface) compliance</w:t>
      </w:r>
    </w:p>
    <w:p>
      <w:pPr>
        <w:pStyle w:val="Compact"/>
        <w:numPr>
          <w:ilvl w:val="0"/>
          <w:numId w:val="1002"/>
        </w:numPr>
      </w:pPr>
      <w:r>
        <w:rPr>
          <w:b/>
          <w:bCs/>
        </w:rPr>
        <w:t xml:space="preserve">FTM Chip Providers</w:t>
      </w:r>
      <w:r>
        <w:t xml:space="preserve">: Specialized providers of Fingerprint Template Matching chips for secure biometric processing</w:t>
      </w:r>
    </w:p>
    <w:p>
      <w:pPr>
        <w:pStyle w:val="Compact"/>
        <w:numPr>
          <w:ilvl w:val="0"/>
          <w:numId w:val="1002"/>
        </w:numPr>
      </w:pPr>
      <w:r>
        <w:rPr>
          <w:b/>
          <w:bCs/>
        </w:rPr>
        <w:t xml:space="preserve">Credential Partners</w:t>
      </w:r>
      <w:r>
        <w:t xml:space="preserve">: Organizations managing credential issuance, printing, and delivery services</w:t>
      </w:r>
    </w:p>
    <w:bookmarkEnd w:id="13"/>
    <w:bookmarkEnd w:id="14"/>
    <w:bookmarkStart w:id="19" w:name="certificate-and-trust-management"/>
    <w:p>
      <w:pPr>
        <w:pStyle w:val="Heading3"/>
      </w:pPr>
      <w:r>
        <w:t xml:space="preserve">2. Certificate and Trust Management</w:t>
      </w:r>
    </w:p>
    <w:p>
      <w:pPr>
        <w:pStyle w:val="FirstParagraph"/>
      </w:pPr>
      <w:r>
        <w:rPr>
          <w:i/>
          <w:iCs/>
        </w:rPr>
        <w:t xml:space="preserve">Establish and maintain cryptographic trust relationships across the partner ecosystem</w:t>
      </w:r>
    </w:p>
    <w:bookmarkStart w:id="16" w:name="Xd40ed6f95d6f100bd838fb42162a26518ea80d6"/>
    <w:p>
      <w:pPr>
        <w:pStyle w:val="Heading4"/>
      </w:pPr>
      <w:r>
        <w:t xml:space="preserve">Certificate Trust Store Management →</w:t>
      </w:r>
      <w:r>
        <w:t xml:space="preserve"> </w:t>
      </w:r>
      <w:hyperlink r:id="rId15">
        <w:r>
          <w:rPr>
            <w:rStyle w:val="Hyperlink"/>
          </w:rPr>
          <w:t xml:space="preserve">Certificate Trust Store Guide</w:t>
        </w:r>
      </w:hyperlink>
    </w:p>
    <w:p>
      <w:pPr>
        <w:pStyle w:val="FirstParagraph"/>
      </w:pPr>
      <w:r>
        <w:t xml:space="preserve">Centralized management of root and intermediate certificates ensuring cryptographic trust across all partners.</w:t>
      </w:r>
    </w:p>
    <w:p>
      <w:pPr>
        <w:pStyle w:val="Compact"/>
        <w:numPr>
          <w:ilvl w:val="0"/>
          <w:numId w:val="1003"/>
        </w:numPr>
      </w:pPr>
      <w:r>
        <w:rPr>
          <w:b/>
          <w:bCs/>
        </w:rPr>
        <w:t xml:space="preserve">Root CA Management</w:t>
      </w:r>
      <w:r>
        <w:t xml:space="preserve">: Upload, validate, and manage root Certificate Authority certificates with automated trust chain verification</w:t>
      </w:r>
    </w:p>
    <w:p>
      <w:pPr>
        <w:pStyle w:val="Compact"/>
        <w:numPr>
          <w:ilvl w:val="0"/>
          <w:numId w:val="1003"/>
        </w:numPr>
      </w:pPr>
      <w:r>
        <w:rPr>
          <w:b/>
          <w:bCs/>
        </w:rPr>
        <w:t xml:space="preserve">Intermediate CA Support</w:t>
      </w:r>
      <w:r>
        <w:t xml:space="preserve">: Multi-level certificate hierarchy management with automated validation and expiration tracking</w:t>
      </w:r>
    </w:p>
    <w:p>
      <w:pPr>
        <w:pStyle w:val="Compact"/>
        <w:numPr>
          <w:ilvl w:val="0"/>
          <w:numId w:val="1003"/>
        </w:numPr>
      </w:pPr>
      <w:r>
        <w:rPr>
          <w:b/>
          <w:bCs/>
        </w:rPr>
        <w:t xml:space="preserve">Partner Certificate Validation</w:t>
      </w:r>
      <w:r>
        <w:t xml:space="preserve">: Automated verification of partner-uploaded certificates against trusted CA chains</w:t>
      </w:r>
    </w:p>
    <w:p>
      <w:pPr>
        <w:pStyle w:val="Compact"/>
        <w:numPr>
          <w:ilvl w:val="0"/>
          <w:numId w:val="1003"/>
        </w:numPr>
      </w:pPr>
      <w:r>
        <w:rPr>
          <w:b/>
          <w:bCs/>
        </w:rPr>
        <w:t xml:space="preserve">Certificate Lifecycle Tracking</w:t>
      </w:r>
      <w:r>
        <w:t xml:space="preserve">: Proactive monitoring with automated alerts for certificate expiration and renewal requirements</w:t>
      </w:r>
    </w:p>
    <w:bookmarkEnd w:id="16"/>
    <w:bookmarkStart w:id="18" w:name="X046a0676c3f9cf2e5296c7de78da83eb449e34a"/>
    <w:p>
      <w:pPr>
        <w:pStyle w:val="Heading4"/>
      </w:pPr>
      <w:r>
        <w:t xml:space="preserve">Partner Certificate Management →</w:t>
      </w:r>
      <w:r>
        <w:t xml:space="preserve"> </w:t>
      </w:r>
      <w:hyperlink r:id="rId17">
        <w:r>
          <w:rPr>
            <w:rStyle w:val="Hyperlink"/>
          </w:rPr>
          <w:t xml:space="preserve">MISP Certificate Management</w:t>
        </w:r>
      </w:hyperlink>
    </w:p>
    <w:p>
      <w:pPr>
        <w:pStyle w:val="FirstParagraph"/>
      </w:pPr>
      <w:r>
        <w:t xml:space="preserve">Secure management of partner-specific certificates for authenticated communication.</w:t>
      </w:r>
    </w:p>
    <w:p>
      <w:pPr>
        <w:pStyle w:val="Compact"/>
        <w:numPr>
          <w:ilvl w:val="0"/>
          <w:numId w:val="1004"/>
        </w:numPr>
      </w:pPr>
      <w:r>
        <w:rPr>
          <w:b/>
          <w:bCs/>
        </w:rPr>
        <w:t xml:space="preserve">CA-Signed Certificate Upload</w:t>
      </w:r>
      <w:r>
        <w:t xml:space="preserve">: Secure upload and validation of partner certificates with organization name matching requirements</w:t>
      </w:r>
    </w:p>
    <w:p>
      <w:pPr>
        <w:pStyle w:val="Compact"/>
        <w:numPr>
          <w:ilvl w:val="0"/>
          <w:numId w:val="1004"/>
        </w:numPr>
      </w:pPr>
      <w:r>
        <w:rPr>
          <w:b/>
          <w:bCs/>
        </w:rPr>
        <w:t xml:space="preserve">Certificate Status Management</w:t>
      </w:r>
      <w:r>
        <w:t xml:space="preserve">: Real-time tracking of certificate validity, activation, and deactivation with audit trails</w:t>
      </w:r>
    </w:p>
    <w:p>
      <w:pPr>
        <w:pStyle w:val="Compact"/>
        <w:numPr>
          <w:ilvl w:val="0"/>
          <w:numId w:val="1004"/>
        </w:numPr>
      </w:pPr>
      <w:r>
        <w:rPr>
          <w:b/>
          <w:bCs/>
        </w:rPr>
        <w:t xml:space="preserve">Automated Certificate Validation</w:t>
      </w:r>
      <w:r>
        <w:t xml:space="preserve">: Cryptographic verification against trusted Certificate Authority chains with detailed error reporting</w:t>
      </w:r>
    </w:p>
    <w:p>
      <w:pPr>
        <w:pStyle w:val="Compact"/>
        <w:numPr>
          <w:ilvl w:val="0"/>
          <w:numId w:val="1004"/>
        </w:numPr>
      </w:pPr>
      <w:r>
        <w:rPr>
          <w:b/>
          <w:bCs/>
        </w:rPr>
        <w:t xml:space="preserve">Certificate Renewal Notifications</w:t>
      </w:r>
      <w:r>
        <w:t xml:space="preserve">: Proactive alerts and automated renewal workflows to prevent service disruptions</w:t>
      </w:r>
    </w:p>
    <w:bookmarkEnd w:id="18"/>
    <w:bookmarkEnd w:id="19"/>
    <w:bookmarkStart w:id="23" w:name="policy-management-and-governance"/>
    <w:p>
      <w:pPr>
        <w:pStyle w:val="Heading3"/>
      </w:pPr>
      <w:r>
        <w:t xml:space="preserve">3. Policy Management and Governance</w:t>
      </w:r>
    </w:p>
    <w:p>
      <w:pPr>
        <w:pStyle w:val="FirstParagraph"/>
      </w:pPr>
      <w:r>
        <w:rPr>
          <w:i/>
          <w:iCs/>
        </w:rPr>
        <w:t xml:space="preserve">Define and enforce access policies that govern partner interactions with identity services</w:t>
      </w:r>
    </w:p>
    <w:bookmarkStart w:id="21" w:name="Xceff278776358d9132dade3443deaa48c39b7c0"/>
    <w:p>
      <w:pPr>
        <w:pStyle w:val="Heading4"/>
      </w:pPr>
      <w:r>
        <w:t xml:space="preserve">Policy Group Administration →</w:t>
      </w:r>
      <w:r>
        <w:t xml:space="preserve"> </w:t>
      </w:r>
      <w:hyperlink r:id="rId20">
        <w:r>
          <w:rPr>
            <w:rStyle w:val="Hyperlink"/>
          </w:rPr>
          <w:t xml:space="preserve">Policy Manager Guide</w:t>
        </w:r>
      </w:hyperlink>
    </w:p>
    <w:p>
      <w:pPr>
        <w:pStyle w:val="FirstParagraph"/>
      </w:pPr>
      <w:r>
        <w:t xml:space="preserve">Hierarchical policy management enabling flexible governance across different partner types and use cases.</w:t>
      </w:r>
    </w:p>
    <w:p>
      <w:pPr>
        <w:pStyle w:val="Compact"/>
        <w:numPr>
          <w:ilvl w:val="0"/>
          <w:numId w:val="1005"/>
        </w:numPr>
      </w:pPr>
      <w:r>
        <w:rPr>
          <w:b/>
          <w:bCs/>
        </w:rPr>
        <w:t xml:space="preserve">Policy Group Creation</w:t>
      </w:r>
      <w:r>
        <w:t xml:space="preserve">: Logical grouping of related policies with inheritance and override capabilities for complex organizational structures</w:t>
      </w:r>
    </w:p>
    <w:p>
      <w:pPr>
        <w:pStyle w:val="Compact"/>
        <w:numPr>
          <w:ilvl w:val="0"/>
          <w:numId w:val="1005"/>
        </w:numPr>
      </w:pPr>
      <w:r>
        <w:rPr>
          <w:b/>
          <w:bCs/>
        </w:rPr>
        <w:t xml:space="preserve">Authentication Policy Management</w:t>
      </w:r>
      <w:r>
        <w:t xml:space="preserve">: Granular control over authentication methods, security levels, and access permissions with customizable rules</w:t>
      </w:r>
    </w:p>
    <w:p>
      <w:pPr>
        <w:pStyle w:val="Compact"/>
        <w:numPr>
          <w:ilvl w:val="0"/>
          <w:numId w:val="1005"/>
        </w:numPr>
      </w:pPr>
      <w:r>
        <w:rPr>
          <w:b/>
          <w:bCs/>
        </w:rPr>
        <w:t xml:space="preserve">Data Sharing Policy Configuration</w:t>
      </w:r>
      <w:r>
        <w:t xml:space="preserve">: Precise control over data access, retention, and sharing permissions with privacy-by-design principles</w:t>
      </w:r>
    </w:p>
    <w:p>
      <w:pPr>
        <w:pStyle w:val="Compact"/>
        <w:numPr>
          <w:ilvl w:val="0"/>
          <w:numId w:val="1005"/>
        </w:numPr>
      </w:pPr>
      <w:r>
        <w:rPr>
          <w:b/>
          <w:bCs/>
        </w:rPr>
        <w:t xml:space="preserve">MISP Policy Specialization</w:t>
      </w:r>
      <w:r>
        <w:t xml:space="preserve">: Mobile-specific policies for identity service providers with device-specific security requirements</w:t>
      </w:r>
    </w:p>
    <w:bookmarkEnd w:id="21"/>
    <w:bookmarkStart w:id="22" w:name="X696e8faa602ae68bff3d304fc2b9a1d83f6deee"/>
    <w:p>
      <w:pPr>
        <w:pStyle w:val="Heading4"/>
      </w:pPr>
      <w:r>
        <w:t xml:space="preserve">Policy Linking and Approval Workflows →</w:t>
      </w:r>
      <w:r>
        <w:t xml:space="preserve"> </w:t>
      </w:r>
      <w:hyperlink r:id="rId10">
        <w:r>
          <w:rPr>
            <w:rStyle w:val="Hyperlink"/>
          </w:rPr>
          <w:t xml:space="preserve">Partner Policy Linking</w:t>
        </w:r>
      </w:hyperlink>
    </w:p>
    <w:p>
      <w:pPr>
        <w:pStyle w:val="FirstParagraph"/>
      </w:pPr>
      <w:r>
        <w:t xml:space="preserve">Streamlined processes for associating partners with appropriate policies while maintaining security governance.</w:t>
      </w:r>
    </w:p>
    <w:p>
      <w:pPr>
        <w:pStyle w:val="Compact"/>
        <w:numPr>
          <w:ilvl w:val="0"/>
          <w:numId w:val="1006"/>
        </w:numPr>
      </w:pPr>
      <w:r>
        <w:rPr>
          <w:b/>
          <w:bCs/>
        </w:rPr>
        <w:t xml:space="preserve">Dynamic Policy Assignment</w:t>
      </w:r>
      <w:r>
        <w:t xml:space="preserve">: Flexible linking of partners to multiple policy groups with conditional access rules</w:t>
      </w:r>
    </w:p>
    <w:p>
      <w:pPr>
        <w:pStyle w:val="Compact"/>
        <w:numPr>
          <w:ilvl w:val="0"/>
          <w:numId w:val="1006"/>
        </w:numPr>
      </w:pPr>
      <w:r>
        <w:rPr>
          <w:b/>
          <w:bCs/>
        </w:rPr>
        <w:t xml:space="preserve">Approval Workflow Management</w:t>
      </w:r>
      <w:r>
        <w:t xml:space="preserve">: Multi-stage approval processes with role-based authorization and audit trails</w:t>
      </w:r>
    </w:p>
    <w:p>
      <w:pPr>
        <w:pStyle w:val="Compact"/>
        <w:numPr>
          <w:ilvl w:val="0"/>
          <w:numId w:val="1006"/>
        </w:numPr>
      </w:pPr>
      <w:r>
        <w:rPr>
          <w:b/>
          <w:bCs/>
        </w:rPr>
        <w:t xml:space="preserve">Policy Compliance Monitoring</w:t>
      </w:r>
      <w:r>
        <w:t xml:space="preserve">: Real-time tracking of policy adherence with automated compliance reporting</w:t>
      </w:r>
    </w:p>
    <w:p>
      <w:pPr>
        <w:pStyle w:val="Compact"/>
        <w:numPr>
          <w:ilvl w:val="0"/>
          <w:numId w:val="1006"/>
        </w:numPr>
      </w:pPr>
      <w:r>
        <w:rPr>
          <w:b/>
          <w:bCs/>
        </w:rPr>
        <w:t xml:space="preserve">Policy Version Control</w:t>
      </w:r>
      <w:r>
        <w:t xml:space="preserve">: Comprehensive versioning with rollback capabilities and change impact analysis</w:t>
      </w:r>
    </w:p>
    <w:bookmarkEnd w:id="22"/>
    <w:bookmarkEnd w:id="23"/>
    <w:bookmarkStart w:id="28" w:name="Xdf364d4c669fe2a32fb91f91f0775330468c9e0"/>
    <w:p>
      <w:pPr>
        <w:pStyle w:val="Heading3"/>
      </w:pPr>
      <w:r>
        <w:t xml:space="preserve">4. Device and Biometric Ecosystem Management</w:t>
      </w:r>
    </w:p>
    <w:p>
      <w:pPr>
        <w:pStyle w:val="FirstParagraph"/>
      </w:pPr>
      <w:r>
        <w:rPr>
          <w:i/>
          <w:iCs/>
        </w:rPr>
        <w:t xml:space="preserve">Manage and certify biometric devices and components for secure identity capture</w:t>
      </w:r>
    </w:p>
    <w:bookmarkStart w:id="25" w:name="Xf7f91c4eb2e6f9b41b448f55f2d85b5a8444036"/>
    <w:p>
      <w:pPr>
        <w:pStyle w:val="Heading4"/>
      </w:pPr>
      <w:r>
        <w:t xml:space="preserve">SBI (Secure Biometric Interface) Management →</w:t>
      </w:r>
      <w:r>
        <w:t xml:space="preserve"> </w:t>
      </w:r>
      <w:hyperlink r:id="rId24">
        <w:r>
          <w:rPr>
            <w:rStyle w:val="Hyperlink"/>
          </w:rPr>
          <w:t xml:space="preserve">Device Provider Guide</w:t>
        </w:r>
      </w:hyperlink>
    </w:p>
    <w:p>
      <w:pPr>
        <w:pStyle w:val="FirstParagraph"/>
      </w:pPr>
      <w:r>
        <w:t xml:space="preserve">Comprehensive management of biometric device software ensuring security and interoperability.</w:t>
      </w:r>
    </w:p>
    <w:p>
      <w:pPr>
        <w:pStyle w:val="Compact"/>
        <w:numPr>
          <w:ilvl w:val="0"/>
          <w:numId w:val="1007"/>
        </w:numPr>
      </w:pPr>
      <w:r>
        <w:rPr>
          <w:b/>
          <w:bCs/>
        </w:rPr>
        <w:t xml:space="preserve">SBI Registration and Approval</w:t>
      </w:r>
      <w:r>
        <w:t xml:space="preserve">: Streamlined registration process for biometric device software with compliance verification</w:t>
      </w:r>
    </w:p>
    <w:p>
      <w:pPr>
        <w:pStyle w:val="Compact"/>
        <w:numPr>
          <w:ilvl w:val="0"/>
          <w:numId w:val="1007"/>
        </w:numPr>
      </w:pPr>
      <w:r>
        <w:rPr>
          <w:b/>
          <w:bCs/>
        </w:rPr>
        <w:t xml:space="preserve">Device Association Management</w:t>
      </w:r>
      <w:r>
        <w:t xml:space="preserve">: Linking physical devices to certified SBI implementations with automated compatibility checking</w:t>
      </w:r>
    </w:p>
    <w:p>
      <w:pPr>
        <w:pStyle w:val="Compact"/>
        <w:numPr>
          <w:ilvl w:val="0"/>
          <w:numId w:val="1007"/>
        </w:numPr>
      </w:pPr>
      <w:r>
        <w:rPr>
          <w:b/>
          <w:bCs/>
        </w:rPr>
        <w:t xml:space="preserve">SBI Version Control</w:t>
      </w:r>
      <w:r>
        <w:t xml:space="preserve">: Manage multiple SBI versions with upgrade paths and backward compatibility tracking</w:t>
      </w:r>
    </w:p>
    <w:p>
      <w:pPr>
        <w:pStyle w:val="Compact"/>
        <w:numPr>
          <w:ilvl w:val="0"/>
          <w:numId w:val="1007"/>
        </w:numPr>
      </w:pPr>
      <w:r>
        <w:rPr>
          <w:b/>
          <w:bCs/>
        </w:rPr>
        <w:t xml:space="preserve">Quality Assurance Integration</w:t>
      </w:r>
      <w:r>
        <w:t xml:space="preserve">: Built-in testing workflows with automated compliance verification against MOSIP standards</w:t>
      </w:r>
    </w:p>
    <w:bookmarkEnd w:id="25"/>
    <w:bookmarkStart w:id="27" w:name="X4829d1b9c51610213f8b4d0b20dd616fd3b090f"/>
    <w:p>
      <w:pPr>
        <w:pStyle w:val="Heading4"/>
      </w:pPr>
      <w:r>
        <w:t xml:space="preserve">FTM Chip Certification →</w:t>
      </w:r>
      <w:r>
        <w:t xml:space="preserve"> </w:t>
      </w:r>
      <w:hyperlink r:id="rId26">
        <w:r>
          <w:rPr>
            <w:rStyle w:val="Hyperlink"/>
          </w:rPr>
          <w:t xml:space="preserve">FTM Chip Provider Guide</w:t>
        </w:r>
      </w:hyperlink>
    </w:p>
    <w:p>
      <w:pPr>
        <w:pStyle w:val="FirstParagraph"/>
      </w:pPr>
      <w:r>
        <w:t xml:space="preserve">Specialized management for Fingerprint Template Matching hardware components.</w:t>
      </w:r>
    </w:p>
    <w:p>
      <w:pPr>
        <w:pStyle w:val="Compact"/>
        <w:numPr>
          <w:ilvl w:val="0"/>
          <w:numId w:val="1008"/>
        </w:numPr>
      </w:pPr>
      <w:r>
        <w:rPr>
          <w:b/>
          <w:bCs/>
        </w:rPr>
        <w:t xml:space="preserve">Chip Registration Process</w:t>
      </w:r>
      <w:r>
        <w:t xml:space="preserve">: Secure onboarding of FTM chip providers with hardware specification validation</w:t>
      </w:r>
    </w:p>
    <w:p>
      <w:pPr>
        <w:pStyle w:val="Compact"/>
        <w:numPr>
          <w:ilvl w:val="0"/>
          <w:numId w:val="1008"/>
        </w:numPr>
      </w:pPr>
      <w:r>
        <w:rPr>
          <w:b/>
          <w:bCs/>
        </w:rPr>
        <w:t xml:space="preserve">Performance Certification</w:t>
      </w:r>
      <w:r>
        <w:t xml:space="preserve">: Standardized testing and certification processes ensuring accuracy and security compliance</w:t>
      </w:r>
    </w:p>
    <w:p>
      <w:pPr>
        <w:pStyle w:val="Compact"/>
        <w:numPr>
          <w:ilvl w:val="0"/>
          <w:numId w:val="1008"/>
        </w:numPr>
      </w:pPr>
      <w:r>
        <w:rPr>
          <w:b/>
          <w:bCs/>
        </w:rPr>
        <w:t xml:space="preserve">Chip Lifecycle Management</w:t>
      </w:r>
      <w:r>
        <w:t xml:space="preserve">: Track chip deployment, performance metrics, and replacement cycles with predictive maintenance</w:t>
      </w:r>
    </w:p>
    <w:p>
      <w:pPr>
        <w:pStyle w:val="Compact"/>
        <w:numPr>
          <w:ilvl w:val="0"/>
          <w:numId w:val="1008"/>
        </w:numPr>
      </w:pPr>
      <w:r>
        <w:rPr>
          <w:b/>
          <w:bCs/>
        </w:rPr>
        <w:t xml:space="preserve">Security Validation</w:t>
      </w:r>
      <w:r>
        <w:t xml:space="preserve">: Comprehensive security testing including tamper resistance and cryptographic key management</w:t>
      </w:r>
    </w:p>
    <w:bookmarkEnd w:id="27"/>
    <w:bookmarkEnd w:id="28"/>
    <w:bookmarkStart w:id="31" w:name="license-key-and-api-management"/>
    <w:p>
      <w:pPr>
        <w:pStyle w:val="Heading3"/>
      </w:pPr>
      <w:r>
        <w:t xml:space="preserve">5. License Key and API Management</w:t>
      </w:r>
    </w:p>
    <w:p>
      <w:pPr>
        <w:pStyle w:val="FirstParagraph"/>
      </w:pPr>
      <w:r>
        <w:rPr>
          <w:i/>
          <w:iCs/>
        </w:rPr>
        <w:t xml:space="preserve">Secure API access through comprehensive license key management and monitoring</w:t>
      </w:r>
    </w:p>
    <w:bookmarkStart w:id="29" w:name="X1834db534e839fdc59cda2e322ebe14aa2197b5"/>
    <w:p>
      <w:pPr>
        <w:pStyle w:val="Heading4"/>
      </w:pPr>
      <w:r>
        <w:t xml:space="preserve">MISP License Key Generation →</w:t>
      </w:r>
      <w:r>
        <w:t xml:space="preserve"> </w:t>
      </w:r>
      <w:hyperlink r:id="rId17">
        <w:r>
          <w:rPr>
            <w:rStyle w:val="Hyperlink"/>
          </w:rPr>
          <w:t xml:space="preserve">MISP Partner Onboarding</w:t>
        </w:r>
      </w:hyperlink>
    </w:p>
    <w:p>
      <w:pPr>
        <w:pStyle w:val="FirstParagraph"/>
      </w:pPr>
      <w:r>
        <w:t xml:space="preserve">Automated generation and management of secure API access credentials for mobile identity service providers.</w:t>
      </w:r>
    </w:p>
    <w:p>
      <w:pPr>
        <w:pStyle w:val="Compact"/>
        <w:numPr>
          <w:ilvl w:val="0"/>
          <w:numId w:val="1009"/>
        </w:numPr>
      </w:pPr>
      <w:r>
        <w:rPr>
          <w:b/>
          <w:bCs/>
        </w:rPr>
        <w:t xml:space="preserve">Automated Key Generation</w:t>
      </w:r>
      <w:r>
        <w:t xml:space="preserve">: Cryptographically secure license key creation with configurable expiration and scope settings</w:t>
      </w:r>
    </w:p>
    <w:p>
      <w:pPr>
        <w:pStyle w:val="Compact"/>
        <w:numPr>
          <w:ilvl w:val="0"/>
          <w:numId w:val="1009"/>
        </w:numPr>
      </w:pPr>
      <w:r>
        <w:rPr>
          <w:b/>
          <w:bCs/>
        </w:rPr>
        <w:t xml:space="preserve">Key Lifecycle Management</w:t>
      </w:r>
      <w:r>
        <w:t xml:space="preserve">: Complete lifecycle tracking from generation through renewal with automated rotation capabilities</w:t>
      </w:r>
    </w:p>
    <w:p>
      <w:pPr>
        <w:pStyle w:val="Compact"/>
        <w:numPr>
          <w:ilvl w:val="0"/>
          <w:numId w:val="1009"/>
        </w:numPr>
      </w:pPr>
      <w:r>
        <w:rPr>
          <w:b/>
          <w:bCs/>
        </w:rPr>
        <w:t xml:space="preserve">Usage Monitoring and Analytics</w:t>
      </w:r>
      <w:r>
        <w:t xml:space="preserve">: Real-time API usage tracking with detailed analytics and quota management</w:t>
      </w:r>
    </w:p>
    <w:p>
      <w:pPr>
        <w:pStyle w:val="Compact"/>
        <w:numPr>
          <w:ilvl w:val="0"/>
          <w:numId w:val="1009"/>
        </w:numPr>
      </w:pPr>
      <w:r>
        <w:rPr>
          <w:b/>
          <w:bCs/>
        </w:rPr>
        <w:t xml:space="preserve">Key Revocation and Emergency Controls</w:t>
      </w:r>
      <w:r>
        <w:t xml:space="preserve">: Immediate key deactivation capabilities with audit trails and incident response workflows</w:t>
      </w:r>
    </w:p>
    <w:bookmarkEnd w:id="29"/>
    <w:bookmarkStart w:id="30" w:name="api-access-control-and-monitoring"/>
    <w:p>
      <w:pPr>
        <w:pStyle w:val="Heading4"/>
      </w:pPr>
      <w:r>
        <w:t xml:space="preserve">API Access Control and Monitoring</w:t>
      </w:r>
    </w:p>
    <w:p>
      <w:pPr>
        <w:pStyle w:val="FirstParagraph"/>
      </w:pPr>
      <w:r>
        <w:t xml:space="preserve">Comprehensive API gateway functionality ensuring secure and monitored access to MOSIP services.</w:t>
      </w:r>
    </w:p>
    <w:p>
      <w:pPr>
        <w:pStyle w:val="Compact"/>
        <w:numPr>
          <w:ilvl w:val="0"/>
          <w:numId w:val="1010"/>
        </w:numPr>
      </w:pPr>
      <w:r>
        <w:rPr>
          <w:b/>
          <w:bCs/>
        </w:rPr>
        <w:t xml:space="preserve">Rate Limiting and Throttling</w:t>
      </w:r>
      <w:r>
        <w:t xml:space="preserve">: Configurable API rate limits with burst protection and fair usage enforcement</w:t>
      </w:r>
    </w:p>
    <w:p>
      <w:pPr>
        <w:pStyle w:val="Compact"/>
        <w:numPr>
          <w:ilvl w:val="0"/>
          <w:numId w:val="1010"/>
        </w:numPr>
      </w:pPr>
      <w:r>
        <w:rPr>
          <w:b/>
          <w:bCs/>
        </w:rPr>
        <w:t xml:space="preserve">Request Authentication</w:t>
      </w:r>
      <w:r>
        <w:t xml:space="preserve">: Multi-layered authentication including certificate validation, API keys, and digital signatures</w:t>
      </w:r>
    </w:p>
    <w:p>
      <w:pPr>
        <w:pStyle w:val="Compact"/>
        <w:numPr>
          <w:ilvl w:val="0"/>
          <w:numId w:val="1010"/>
        </w:numPr>
      </w:pPr>
      <w:r>
        <w:rPr>
          <w:b/>
          <w:bCs/>
        </w:rPr>
        <w:t xml:space="preserve">Audit and Compliance Logging</w:t>
      </w:r>
      <w:r>
        <w:t xml:space="preserve">: Comprehensive audit trails for all API interactions with regulatory compliance reporting</w:t>
      </w:r>
    </w:p>
    <w:p>
      <w:pPr>
        <w:pStyle w:val="Compact"/>
        <w:numPr>
          <w:ilvl w:val="0"/>
          <w:numId w:val="1010"/>
        </w:numPr>
      </w:pPr>
      <w:r>
        <w:rPr>
          <w:b/>
          <w:bCs/>
        </w:rPr>
        <w:t xml:space="preserve">Performance Analytics</w:t>
      </w:r>
      <w:r>
        <w:t xml:space="preserve">: Detailed API performance metrics with SLA monitoring and optimization recommendations</w:t>
      </w:r>
    </w:p>
    <w:bookmarkEnd w:id="30"/>
    <w:bookmarkEnd w:id="31"/>
    <w:bookmarkEnd w:id="32"/>
    <w:bookmarkStart w:id="42" w:name="advanced-features"/>
    <w:p>
      <w:pPr>
        <w:pStyle w:val="Heading2"/>
      </w:pPr>
      <w:r>
        <w:t xml:space="preserve">Advanced Features</w:t>
      </w:r>
    </w:p>
    <w:bookmarkStart w:id="37" w:name="Xc684e1e386540f67e11fa599d4e61958b06b7b2"/>
    <w:p>
      <w:pPr>
        <w:pStyle w:val="Heading3"/>
      </w:pPr>
      <w:r>
        <w:t xml:space="preserve">Administrative and Operational Excellence</w:t>
      </w:r>
    </w:p>
    <w:bookmarkStart w:id="33" w:name="Xcb137749b231bc3c71ce8e10795edf6771c0d50"/>
    <w:p>
      <w:pPr>
        <w:pStyle w:val="Heading4"/>
      </w:pPr>
      <w:r>
        <w:t xml:space="preserve">Enhanced User Experience and Interface →</w:t>
      </w:r>
      <w:r>
        <w:t xml:space="preserve"> </w:t>
      </w:r>
      <w:hyperlink r:id="rId10">
        <w:r>
          <w:rPr>
            <w:rStyle w:val="Hyperlink"/>
          </w:rPr>
          <w:t xml:space="preserve">Partner Dashboard</w:t>
        </w:r>
      </w:hyperlink>
    </w:p>
    <w:p>
      <w:pPr>
        <w:pStyle w:val="FirstParagraph"/>
      </w:pPr>
      <w:r>
        <w:t xml:space="preserve">Modern, intuitive interface designed for efficient partner management and self-service operations.</w:t>
      </w:r>
    </w:p>
    <w:p>
      <w:pPr>
        <w:pStyle w:val="Compact"/>
        <w:numPr>
          <w:ilvl w:val="0"/>
          <w:numId w:val="1011"/>
        </w:numPr>
      </w:pPr>
      <w:r>
        <w:rPr>
          <w:b/>
          <w:bCs/>
        </w:rPr>
        <w:t xml:space="preserve">Card-Based Dashboard Design</w:t>
      </w:r>
      <w:r>
        <w:t xml:space="preserve">: Clean, visual dashboard with quick access to key functions and status indicators</w:t>
      </w:r>
    </w:p>
    <w:p>
      <w:pPr>
        <w:pStyle w:val="Compact"/>
        <w:numPr>
          <w:ilvl w:val="0"/>
          <w:numId w:val="1011"/>
        </w:numPr>
      </w:pPr>
      <w:r>
        <w:rPr>
          <w:b/>
          <w:bCs/>
        </w:rPr>
        <w:t xml:space="preserve">Role-Based Access Control</w:t>
      </w:r>
      <w:r>
        <w:t xml:space="preserve">: Granular permissions system supporting multiple administrative roles with customizable access patterns</w:t>
      </w:r>
    </w:p>
    <w:p>
      <w:pPr>
        <w:pStyle w:val="Compact"/>
        <w:numPr>
          <w:ilvl w:val="0"/>
          <w:numId w:val="1011"/>
        </w:numPr>
      </w:pPr>
      <w:r>
        <w:rPr>
          <w:b/>
          <w:bCs/>
        </w:rPr>
        <w:t xml:space="preserve">Multi-Language Support</w:t>
      </w:r>
      <w:r>
        <w:t xml:space="preserve">: Internationalization support for global deployments with localized content and cultural adaptations</w:t>
      </w:r>
    </w:p>
    <w:p>
      <w:pPr>
        <w:pStyle w:val="Compact"/>
        <w:numPr>
          <w:ilvl w:val="0"/>
          <w:numId w:val="1011"/>
        </w:numPr>
      </w:pPr>
      <w:r>
        <w:rPr>
          <w:b/>
          <w:bCs/>
        </w:rPr>
        <w:t xml:space="preserve">Responsive Mobile Interface</w:t>
      </w:r>
      <w:r>
        <w:t xml:space="preserve">: Full functionality across desktop, tablet, and mobile devices with touch-optimized interactions</w:t>
      </w:r>
    </w:p>
    <w:bookmarkEnd w:id="33"/>
    <w:bookmarkStart w:id="35" w:name="X115696ddcec00ed07972db3b4125997597ba490"/>
    <w:p>
      <w:pPr>
        <w:pStyle w:val="Heading4"/>
      </w:pPr>
      <w:r>
        <w:t xml:space="preserve">Notification and Alert Management →</w:t>
      </w:r>
      <w:r>
        <w:t xml:space="preserve"> </w:t>
      </w:r>
      <w:hyperlink r:id="rId34">
        <w:r>
          <w:rPr>
            <w:rStyle w:val="Hyperlink"/>
          </w:rPr>
          <w:t xml:space="preserve">PMS Notifications</w:t>
        </w:r>
      </w:hyperlink>
    </w:p>
    <w:p>
      <w:pPr>
        <w:pStyle w:val="FirstParagraph"/>
      </w:pPr>
      <w:r>
        <w:t xml:space="preserve">Proactive communication system ensuring stakeholders stay informed of critical events and requirements.</w:t>
      </w:r>
    </w:p>
    <w:p>
      <w:pPr>
        <w:pStyle w:val="Compact"/>
        <w:numPr>
          <w:ilvl w:val="0"/>
          <w:numId w:val="1012"/>
        </w:numPr>
      </w:pPr>
      <w:r>
        <w:rPr>
          <w:b/>
          <w:bCs/>
        </w:rPr>
        <w:t xml:space="preserve">Certificate Expiration Alerts</w:t>
      </w:r>
      <w:r>
        <w:t xml:space="preserve">: Automated 30-day advance notifications for all certificate types with escalation workflows</w:t>
      </w:r>
    </w:p>
    <w:p>
      <w:pPr>
        <w:pStyle w:val="Compact"/>
        <w:numPr>
          <w:ilvl w:val="0"/>
          <w:numId w:val="1012"/>
        </w:numPr>
      </w:pPr>
      <w:r>
        <w:rPr>
          <w:b/>
          <w:bCs/>
        </w:rPr>
        <w:t xml:space="preserve">Weekly Summary Reports</w:t>
      </w:r>
      <w:r>
        <w:t xml:space="preserve">: Comprehensive weekly summaries of expiring certificates, API keys, and pending approvals</w:t>
      </w:r>
    </w:p>
    <w:p>
      <w:pPr>
        <w:pStyle w:val="Compact"/>
        <w:numPr>
          <w:ilvl w:val="0"/>
          <w:numId w:val="1012"/>
        </w:numPr>
      </w:pPr>
      <w:r>
        <w:rPr>
          <w:b/>
          <w:bCs/>
        </w:rPr>
        <w:t xml:space="preserve">Real-Time System Notifications</w:t>
      </w:r>
      <w:r>
        <w:t xml:space="preserve">: Instant alerts for critical events including security incidents and system maintenance</w:t>
      </w:r>
    </w:p>
    <w:p>
      <w:pPr>
        <w:pStyle w:val="Compact"/>
        <w:numPr>
          <w:ilvl w:val="0"/>
          <w:numId w:val="1012"/>
        </w:numPr>
      </w:pPr>
      <w:r>
        <w:rPr>
          <w:b/>
          <w:bCs/>
        </w:rPr>
        <w:t xml:space="preserve">Customizable Notification Preferences</w:t>
      </w:r>
      <w:r>
        <w:t xml:space="preserve">: User-configurable notification settings with multiple delivery channels including email and SMS</w:t>
      </w:r>
    </w:p>
    <w:bookmarkEnd w:id="35"/>
    <w:bookmarkStart w:id="36" w:name="comprehensive-audit-and-compliance"/>
    <w:p>
      <w:pPr>
        <w:pStyle w:val="Heading4"/>
      </w:pPr>
      <w:r>
        <w:t xml:space="preserve">Comprehensive Audit and Compliance</w:t>
      </w:r>
    </w:p>
    <w:p>
      <w:pPr>
        <w:pStyle w:val="FirstParagraph"/>
      </w:pPr>
      <w:r>
        <w:t xml:space="preserve">Enterprise-grade audit capabilities supporting regulatory compliance and security governance.</w:t>
      </w:r>
    </w:p>
    <w:p>
      <w:pPr>
        <w:pStyle w:val="Compact"/>
        <w:numPr>
          <w:ilvl w:val="0"/>
          <w:numId w:val="1013"/>
        </w:numPr>
      </w:pPr>
      <w:r>
        <w:rPr>
          <w:b/>
          <w:bCs/>
        </w:rPr>
        <w:t xml:space="preserve">Complete Audit Trail</w:t>
      </w:r>
      <w:r>
        <w:t xml:space="preserve">: Immutable logs of all system interactions with cryptographic integrity verification</w:t>
      </w:r>
    </w:p>
    <w:p>
      <w:pPr>
        <w:pStyle w:val="Compact"/>
        <w:numPr>
          <w:ilvl w:val="0"/>
          <w:numId w:val="1013"/>
        </w:numPr>
      </w:pPr>
      <w:r>
        <w:rPr>
          <w:b/>
          <w:bCs/>
        </w:rPr>
        <w:t xml:space="preserve">Compliance Reporting</w:t>
      </w:r>
      <w:r>
        <w:t xml:space="preserve">: Automated generation of compliance reports for various regulatory frameworks</w:t>
      </w:r>
    </w:p>
    <w:p>
      <w:pPr>
        <w:pStyle w:val="Compact"/>
        <w:numPr>
          <w:ilvl w:val="0"/>
          <w:numId w:val="1013"/>
        </w:numPr>
      </w:pPr>
      <w:r>
        <w:rPr>
          <w:b/>
          <w:bCs/>
        </w:rPr>
        <w:t xml:space="preserve">Data Privacy Controls</w:t>
      </w:r>
      <w:r>
        <w:t xml:space="preserve">: Built-in GDPR and privacy regulation compliance with data minimization and right-to-be-forgotten capabilities</w:t>
      </w:r>
    </w:p>
    <w:p>
      <w:pPr>
        <w:pStyle w:val="Compact"/>
        <w:numPr>
          <w:ilvl w:val="0"/>
          <w:numId w:val="1013"/>
        </w:numPr>
      </w:pPr>
      <w:r>
        <w:rPr>
          <w:b/>
          <w:bCs/>
        </w:rPr>
        <w:t xml:space="preserve">Security Incident Management</w:t>
      </w:r>
      <w:r>
        <w:t xml:space="preserve">: Integrated incident response workflows with automated containment and reporting capabilities</w:t>
      </w:r>
    </w:p>
    <w:bookmarkEnd w:id="36"/>
    <w:bookmarkEnd w:id="37"/>
    <w:bookmarkStart w:id="41" w:name="integration-and-security-features"/>
    <w:p>
      <w:pPr>
        <w:pStyle w:val="Heading3"/>
      </w:pPr>
      <w:r>
        <w:t xml:space="preserve">Integration and Security Features</w:t>
      </w:r>
    </w:p>
    <w:bookmarkStart w:id="38" w:name="seamless-mosip-ecosystem-integration"/>
    <w:p>
      <w:pPr>
        <w:pStyle w:val="Heading4"/>
      </w:pPr>
      <w:r>
        <w:t xml:space="preserve">Seamless MOSIP Ecosystem Integration</w:t>
      </w:r>
    </w:p>
    <w:p>
      <w:pPr>
        <w:pStyle w:val="FirstParagraph"/>
      </w:pPr>
      <w:r>
        <w:t xml:space="preserve">Deep integration with all MOSIP components ensuring consistent security and operational excellence.</w:t>
      </w:r>
    </w:p>
    <w:p>
      <w:pPr>
        <w:pStyle w:val="Compact"/>
        <w:numPr>
          <w:ilvl w:val="0"/>
          <w:numId w:val="1014"/>
        </w:numPr>
      </w:pPr>
      <w:r>
        <w:rPr>
          <w:b/>
          <w:bCs/>
        </w:rPr>
        <w:t xml:space="preserve">Keycloak Identity Integration</w:t>
      </w:r>
      <w:r>
        <w:t xml:space="preserve">: Seamless integration with MOSIP’s identity and access management system with single sign-on capabilities</w:t>
      </w:r>
    </w:p>
    <w:p>
      <w:pPr>
        <w:pStyle w:val="Compact"/>
        <w:numPr>
          <w:ilvl w:val="0"/>
          <w:numId w:val="1014"/>
        </w:numPr>
      </w:pPr>
      <w:r>
        <w:rPr>
          <w:b/>
          <w:bCs/>
        </w:rPr>
        <w:t xml:space="preserve">Configuration Service Integration</w:t>
      </w:r>
      <w:r>
        <w:t xml:space="preserve">: Centralized configuration management with environment-specific settings and secure secret management</w:t>
      </w:r>
    </w:p>
    <w:p>
      <w:pPr>
        <w:pStyle w:val="Compact"/>
        <w:numPr>
          <w:ilvl w:val="0"/>
          <w:numId w:val="1014"/>
        </w:numPr>
      </w:pPr>
      <w:r>
        <w:rPr>
          <w:b/>
          <w:bCs/>
        </w:rPr>
        <w:t xml:space="preserve">Notification Service Integration</w:t>
      </w:r>
      <w:r>
        <w:t xml:space="preserve">: Unified communication through MOSIP’s notification infrastructure with multi-channel delivery</w:t>
      </w:r>
    </w:p>
    <w:p>
      <w:pPr>
        <w:pStyle w:val="Compact"/>
        <w:numPr>
          <w:ilvl w:val="0"/>
          <w:numId w:val="1014"/>
        </w:numPr>
      </w:pPr>
      <w:r>
        <w:rPr>
          <w:b/>
          <w:bCs/>
        </w:rPr>
        <w:t xml:space="preserve">Master Data Synchronization</w:t>
      </w:r>
      <w:r>
        <w:t xml:space="preserve">: Real-time synchronization with MOSIP master data ensuring consistency across all components</w:t>
      </w:r>
    </w:p>
    <w:bookmarkEnd w:id="38"/>
    <w:bookmarkStart w:id="39" w:name="enterprise-security-framework"/>
    <w:p>
      <w:pPr>
        <w:pStyle w:val="Heading4"/>
      </w:pPr>
      <w:r>
        <w:t xml:space="preserve">Enterprise Security Framework</w:t>
      </w:r>
    </w:p>
    <w:p>
      <w:pPr>
        <w:pStyle w:val="FirstParagraph"/>
      </w:pPr>
      <w:r>
        <w:t xml:space="preserve">Multi-layered security architecture protecting against modern threats while maintaining usability.</w:t>
      </w:r>
    </w:p>
    <w:p>
      <w:pPr>
        <w:pStyle w:val="Compact"/>
        <w:numPr>
          <w:ilvl w:val="0"/>
          <w:numId w:val="1015"/>
        </w:numPr>
      </w:pPr>
      <w:r>
        <w:rPr>
          <w:b/>
          <w:bCs/>
        </w:rPr>
        <w:t xml:space="preserve">Zero-Trust Architecture</w:t>
      </w:r>
      <w:r>
        <w:t xml:space="preserve">: Implementation of zero-trust principles with continuous verification and minimal privilege access</w:t>
      </w:r>
    </w:p>
    <w:p>
      <w:pPr>
        <w:pStyle w:val="Compact"/>
        <w:numPr>
          <w:ilvl w:val="0"/>
          <w:numId w:val="1015"/>
        </w:numPr>
      </w:pPr>
      <w:r>
        <w:rPr>
          <w:b/>
          <w:bCs/>
        </w:rPr>
        <w:t xml:space="preserve">Encryption at Rest and Transit</w:t>
      </w:r>
      <w:r>
        <w:t xml:space="preserve">: End-to-end encryption for all data with key management and rotation policies</w:t>
      </w:r>
    </w:p>
    <w:p>
      <w:pPr>
        <w:pStyle w:val="Compact"/>
        <w:numPr>
          <w:ilvl w:val="0"/>
          <w:numId w:val="1015"/>
        </w:numPr>
      </w:pPr>
      <w:r>
        <w:rPr>
          <w:b/>
          <w:bCs/>
        </w:rPr>
        <w:t xml:space="preserve">Advanced Threat Protection</w:t>
      </w:r>
      <w:r>
        <w:t xml:space="preserve">: Real-time threat detection with automated response and incident escalation</w:t>
      </w:r>
    </w:p>
    <w:p>
      <w:pPr>
        <w:pStyle w:val="Compact"/>
        <w:numPr>
          <w:ilvl w:val="0"/>
          <w:numId w:val="1015"/>
        </w:numPr>
      </w:pPr>
      <w:r>
        <w:rPr>
          <w:b/>
          <w:bCs/>
        </w:rPr>
        <w:t xml:space="preserve">Secure Communication Protocols</w:t>
      </w:r>
      <w:r>
        <w:t xml:space="preserve">: Implementation of latest security standards including TLS 1.3 and certificate pinning</w:t>
      </w:r>
    </w:p>
    <w:bookmarkEnd w:id="39"/>
    <w:bookmarkStart w:id="40" w:name="scalability-and-performance-optimization"/>
    <w:p>
      <w:pPr>
        <w:pStyle w:val="Heading4"/>
      </w:pPr>
      <w:r>
        <w:t xml:space="preserve">Scalability and Performance Optimization</w:t>
      </w:r>
    </w:p>
    <w:p>
      <w:pPr>
        <w:pStyle w:val="FirstParagraph"/>
      </w:pPr>
      <w:r>
        <w:t xml:space="preserve">Enterprise-grade architecture supporting high-volume operations and global deployments.</w:t>
      </w:r>
    </w:p>
    <w:p>
      <w:pPr>
        <w:pStyle w:val="Compact"/>
        <w:numPr>
          <w:ilvl w:val="0"/>
          <w:numId w:val="1016"/>
        </w:numPr>
      </w:pPr>
      <w:r>
        <w:rPr>
          <w:b/>
          <w:bCs/>
        </w:rPr>
        <w:t xml:space="preserve">Horizontal Scaling Capabilities</w:t>
      </w:r>
      <w:r>
        <w:t xml:space="preserve">: Microservices architecture supporting automatic scaling based on demand patterns</w:t>
      </w:r>
    </w:p>
    <w:p>
      <w:pPr>
        <w:pStyle w:val="Compact"/>
        <w:numPr>
          <w:ilvl w:val="0"/>
          <w:numId w:val="1016"/>
        </w:numPr>
      </w:pPr>
      <w:r>
        <w:rPr>
          <w:b/>
          <w:bCs/>
        </w:rPr>
        <w:t xml:space="preserve">Performance Monitoring</w:t>
      </w:r>
      <w:r>
        <w:t xml:space="preserve">: Real-time performance metrics with predictive analytics and capacity planning</w:t>
      </w:r>
    </w:p>
    <w:p>
      <w:pPr>
        <w:pStyle w:val="Compact"/>
        <w:numPr>
          <w:ilvl w:val="0"/>
          <w:numId w:val="1016"/>
        </w:numPr>
      </w:pPr>
      <w:r>
        <w:rPr>
          <w:b/>
          <w:bCs/>
        </w:rPr>
        <w:t xml:space="preserve">Global Deployment Support</w:t>
      </w:r>
      <w:r>
        <w:t xml:space="preserve">: Multi-region deployment capabilities with data residency compliance</w:t>
      </w:r>
    </w:p>
    <w:p>
      <w:pPr>
        <w:pStyle w:val="Compact"/>
        <w:numPr>
          <w:ilvl w:val="0"/>
          <w:numId w:val="1016"/>
        </w:numPr>
      </w:pPr>
      <w:r>
        <w:rPr>
          <w:b/>
          <w:bCs/>
        </w:rPr>
        <w:t xml:space="preserve">Disaster Recovery and Business Continuity</w:t>
      </w:r>
      <w:r>
        <w:t xml:space="preserve">: Comprehensive backup and recovery procedures with RTO/RPO guarantees</w:t>
      </w:r>
    </w:p>
    <w:bookmarkEnd w:id="40"/>
    <w:bookmarkEnd w:id="41"/>
    <w:bookmarkEnd w:id="42"/>
    <w:bookmarkStart w:id="47" w:name="implementation-guides"/>
    <w:p>
      <w:pPr>
        <w:pStyle w:val="Heading2"/>
      </w:pPr>
      <w:r>
        <w:t xml:space="preserve">Implementation Guides</w:t>
      </w:r>
    </w:p>
    <w:bookmarkStart w:id="43" w:name="getting-started-resources"/>
    <w:p>
      <w:pPr>
        <w:pStyle w:val="Heading3"/>
      </w:pPr>
      <w:r>
        <w:t xml:space="preserve">Getting Started Resources</w:t>
      </w:r>
    </w:p>
    <w:p>
      <w:pPr>
        <w:pStyle w:val="Compact"/>
        <w:numPr>
          <w:ilvl w:val="0"/>
          <w:numId w:val="1017"/>
        </w:numPr>
      </w:pPr>
      <w:hyperlink r:id="rId12">
        <w:r>
          <w:rPr>
            <w:rStyle w:val="Hyperlink"/>
            <w:b/>
            <w:bCs/>
          </w:rPr>
          <w:t xml:space="preserve">PMS Overview</w:t>
        </w:r>
      </w:hyperlink>
      <w:r>
        <w:t xml:space="preserve"> </w:t>
      </w:r>
      <w:r>
        <w:t xml:space="preserve">- Complete introduction to Partner Management Services and ecosystem overview</w:t>
      </w:r>
    </w:p>
    <w:p>
      <w:pPr>
        <w:pStyle w:val="Compact"/>
        <w:numPr>
          <w:ilvl w:val="0"/>
          <w:numId w:val="1017"/>
        </w:numPr>
      </w:pPr>
      <w:hyperlink r:id="rId10">
        <w:r>
          <w:rPr>
            <w:rStyle w:val="Hyperlink"/>
            <w:b/>
            <w:bCs/>
          </w:rPr>
          <w:t xml:space="preserve">Partner Admin Setup</w:t>
        </w:r>
      </w:hyperlink>
      <w:r>
        <w:t xml:space="preserve"> </w:t>
      </w:r>
      <w:r>
        <w:t xml:space="preserve">- Step-by-step guide for setting up partner administration capabilities</w:t>
      </w:r>
    </w:p>
    <w:p>
      <w:pPr>
        <w:pStyle w:val="Compact"/>
        <w:numPr>
          <w:ilvl w:val="0"/>
          <w:numId w:val="1017"/>
        </w:numPr>
      </w:pPr>
      <w:hyperlink r:id="rId24">
        <w:r>
          <w:rPr>
            <w:rStyle w:val="Hyperlink"/>
            <w:b/>
            <w:bCs/>
          </w:rPr>
          <w:t xml:space="preserve">Certificate Trust Store Configuration</w:t>
        </w:r>
      </w:hyperlink>
      <w:r>
        <w:t xml:space="preserve"> </w:t>
      </w:r>
      <w:r>
        <w:t xml:space="preserve">- Essential security setup for certificate management</w:t>
      </w:r>
    </w:p>
    <w:bookmarkEnd w:id="43"/>
    <w:bookmarkStart w:id="44" w:name="partner-specific-onboarding"/>
    <w:p>
      <w:pPr>
        <w:pStyle w:val="Heading3"/>
      </w:pPr>
      <w:r>
        <w:t xml:space="preserve">Partner-Specific Onboarding</w:t>
      </w:r>
    </w:p>
    <w:p>
      <w:pPr>
        <w:pStyle w:val="Compact"/>
        <w:numPr>
          <w:ilvl w:val="0"/>
          <w:numId w:val="1018"/>
        </w:numPr>
      </w:pPr>
      <w:hyperlink r:id="rId17">
        <w:r>
          <w:rPr>
            <w:rStyle w:val="Hyperlink"/>
            <w:b/>
            <w:bCs/>
          </w:rPr>
          <w:t xml:space="preserve">MISP Partner Onboarding</w:t>
        </w:r>
      </w:hyperlink>
      <w:r>
        <w:t xml:space="preserve"> </w:t>
      </w:r>
      <w:r>
        <w:t xml:space="preserve">- Complete guide for Mobile Identity Service Provider registration</w:t>
      </w:r>
    </w:p>
    <w:p>
      <w:pPr>
        <w:pStyle w:val="Compact"/>
        <w:numPr>
          <w:ilvl w:val="0"/>
          <w:numId w:val="1018"/>
        </w:numPr>
      </w:pPr>
      <w:hyperlink r:id="rId10">
        <w:r>
          <w:rPr>
            <w:rStyle w:val="Hyperlink"/>
            <w:b/>
            <w:bCs/>
          </w:rPr>
          <w:t xml:space="preserve">Authentication Partner Setup</w:t>
        </w:r>
      </w:hyperlink>
      <w:r>
        <w:t xml:space="preserve"> </w:t>
      </w:r>
      <w:r>
        <w:t xml:space="preserve">- Authentication service provider onboarding and configuration</w:t>
      </w:r>
    </w:p>
    <w:p>
      <w:pPr>
        <w:pStyle w:val="Compact"/>
        <w:numPr>
          <w:ilvl w:val="0"/>
          <w:numId w:val="1018"/>
        </w:numPr>
      </w:pPr>
      <w:hyperlink r:id="rId24">
        <w:r>
          <w:rPr>
            <w:rStyle w:val="Hyperlink"/>
            <w:b/>
            <w:bCs/>
          </w:rPr>
          <w:t xml:space="preserve">Device Provider Registration</w:t>
        </w:r>
      </w:hyperlink>
      <w:r>
        <w:t xml:space="preserve"> </w:t>
      </w:r>
      <w:r>
        <w:t xml:space="preserve">- Biometric device manufacturer onboarding process</w:t>
      </w:r>
    </w:p>
    <w:p>
      <w:pPr>
        <w:pStyle w:val="Compact"/>
        <w:numPr>
          <w:ilvl w:val="0"/>
          <w:numId w:val="1018"/>
        </w:numPr>
      </w:pPr>
      <w:hyperlink r:id="rId26">
        <w:r>
          <w:rPr>
            <w:rStyle w:val="Hyperlink"/>
            <w:b/>
            <w:bCs/>
          </w:rPr>
          <w:t xml:space="preserve">FTM Chip Provider Setup</w:t>
        </w:r>
      </w:hyperlink>
      <w:r>
        <w:t xml:space="preserve"> </w:t>
      </w:r>
      <w:r>
        <w:t xml:space="preserve">- Fingerprint template matching chip provider registration</w:t>
      </w:r>
    </w:p>
    <w:bookmarkEnd w:id="44"/>
    <w:bookmarkStart w:id="45" w:name="advanced-configuration-and-management"/>
    <w:p>
      <w:pPr>
        <w:pStyle w:val="Heading3"/>
      </w:pPr>
      <w:r>
        <w:t xml:space="preserve">Advanced Configuration and Management</w:t>
      </w:r>
    </w:p>
    <w:p>
      <w:pPr>
        <w:pStyle w:val="Compact"/>
        <w:numPr>
          <w:ilvl w:val="0"/>
          <w:numId w:val="1019"/>
        </w:numPr>
      </w:pPr>
      <w:hyperlink r:id="rId20">
        <w:r>
          <w:rPr>
            <w:rStyle w:val="Hyperlink"/>
            <w:b/>
            <w:bCs/>
          </w:rPr>
          <w:t xml:space="preserve">Policy Management Guide</w:t>
        </w:r>
      </w:hyperlink>
      <w:r>
        <w:t xml:space="preserve"> </w:t>
      </w:r>
      <w:r>
        <w:t xml:space="preserve">- Comprehensive policy creation and governance procedures</w:t>
      </w:r>
    </w:p>
    <w:p>
      <w:pPr>
        <w:pStyle w:val="Compact"/>
        <w:numPr>
          <w:ilvl w:val="0"/>
          <w:numId w:val="1019"/>
        </w:numPr>
      </w:pPr>
      <w:hyperlink r:id="rId34">
        <w:r>
          <w:rPr>
            <w:rStyle w:val="Hyperlink"/>
            <w:b/>
            <w:bCs/>
          </w:rPr>
          <w:t xml:space="preserve">Notification Configuration</w:t>
        </w:r>
      </w:hyperlink>
      <w:r>
        <w:t xml:space="preserve"> </w:t>
      </w:r>
      <w:r>
        <w:t xml:space="preserve">- Alert and notification system setup and customization</w:t>
      </w:r>
    </w:p>
    <w:p>
      <w:pPr>
        <w:pStyle w:val="Compact"/>
        <w:numPr>
          <w:ilvl w:val="0"/>
          <w:numId w:val="1019"/>
        </w:numPr>
      </w:pPr>
      <w:hyperlink r:id="rId12">
        <w:r>
          <w:rPr>
            <w:rStyle w:val="Hyperlink"/>
            <w:b/>
            <w:bCs/>
          </w:rPr>
          <w:t xml:space="preserve">Security Best Practices</w:t>
        </w:r>
      </w:hyperlink>
      <w:r>
        <w:t xml:space="preserve"> </w:t>
      </w:r>
      <w:r>
        <w:t xml:space="preserve">- Security hardening and compliance configuration guidelines</w:t>
      </w:r>
    </w:p>
    <w:bookmarkEnd w:id="45"/>
    <w:bookmarkStart w:id="46" w:name="cross-references-and-integration"/>
    <w:p>
      <w:pPr>
        <w:pStyle w:val="Heading3"/>
      </w:pPr>
      <w:r>
        <w:t xml:space="preserve">Cross-References and Integration</w:t>
      </w:r>
    </w:p>
    <w:p>
      <w:pPr>
        <w:pStyle w:val="Compact"/>
        <w:numPr>
          <w:ilvl w:val="0"/>
          <w:numId w:val="1020"/>
        </w:numPr>
      </w:pPr>
      <w:r>
        <w:rPr>
          <w:b/>
          <w:bCs/>
        </w:rPr>
        <w:t xml:space="preserve">MOSIP Ecosystem Integration</w:t>
      </w:r>
      <w:r>
        <w:t xml:space="preserve"> </w:t>
      </w:r>
      <w:r>
        <w:t xml:space="preserve">- Documentation for integrating PMS with other MOSIP modules and external systems</w:t>
      </w:r>
    </w:p>
    <w:p>
      <w:pPr>
        <w:pStyle w:val="Compact"/>
        <w:numPr>
          <w:ilvl w:val="0"/>
          <w:numId w:val="1020"/>
        </w:numPr>
      </w:pPr>
      <w:r>
        <w:rPr>
          <w:b/>
          <w:bCs/>
        </w:rPr>
        <w:t xml:space="preserve">API Documentation</w:t>
      </w:r>
      <w:r>
        <w:t xml:space="preserve"> </w:t>
      </w:r>
      <w:r>
        <w:t xml:space="preserve">- Complete API reference for developers and system integrators</w:t>
      </w:r>
    </w:p>
    <w:p>
      <w:pPr>
        <w:pStyle w:val="Compact"/>
        <w:numPr>
          <w:ilvl w:val="0"/>
          <w:numId w:val="1020"/>
        </w:numPr>
      </w:pPr>
      <w:r>
        <w:rPr>
          <w:b/>
          <w:bCs/>
        </w:rPr>
        <w:t xml:space="preserve">Troubleshooting Guide</w:t>
      </w:r>
      <w:r>
        <w:t xml:space="preserve"> </w:t>
      </w:r>
      <w:r>
        <w:t xml:space="preserve">- Common issues resolution and diagnostic procedures for operational teams</w:t>
      </w:r>
    </w:p>
    <w:bookmarkEnd w:id="46"/>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4" Target="../functional-overview/device-provider.md" TargetMode="External" /><Relationship Type="http://schemas.openxmlformats.org/officeDocument/2006/relationships/hyperlink" Id="rId15" Target="../functional-overview/device-provider.md#upload-root-ca-and-sub-ca" TargetMode="External" /><Relationship Type="http://schemas.openxmlformats.org/officeDocument/2006/relationships/hyperlink" Id="rId10" Target="../functional-overview/end-user-guide.md" TargetMode="External" /><Relationship Type="http://schemas.openxmlformats.org/officeDocument/2006/relationships/hyperlink" Id="rId26" Target="../functional-overview/ftm-chip-provider.md" TargetMode="External" /><Relationship Type="http://schemas.openxmlformats.org/officeDocument/2006/relationships/hyperlink" Id="rId17" Target="../functional-overview/misp-partner-onboarding.md" TargetMode="External" /><Relationship Type="http://schemas.openxmlformats.org/officeDocument/2006/relationships/hyperlink" Id="rId34" Target="../functional-overview/pms-notification.md" TargetMode="External" /><Relationship Type="http://schemas.openxmlformats.org/officeDocument/2006/relationships/hyperlink" Id="rId20" Target="../functional-overview/policy-manager.md" TargetMode="External" /><Relationship Type="http://schemas.openxmlformats.org/officeDocument/2006/relationships/hyperlink" Id="rId12" Target="../overview/README.md" TargetMode="External" /></Relationships>
</file>

<file path=word/_rels/footnotes.xml.rels><?xml version="1.0" encoding="UTF-8"?><Relationships xmlns="http://schemas.openxmlformats.org/package/2006/relationships"><Relationship Type="http://schemas.openxmlformats.org/officeDocument/2006/relationships/hyperlink" Id="rId24" Target="../functional-overview/device-provider.md" TargetMode="External" /><Relationship Type="http://schemas.openxmlformats.org/officeDocument/2006/relationships/hyperlink" Id="rId15" Target="../functional-overview/device-provider.md#upload-root-ca-and-sub-ca" TargetMode="External" /><Relationship Type="http://schemas.openxmlformats.org/officeDocument/2006/relationships/hyperlink" Id="rId10" Target="../functional-overview/end-user-guide.md" TargetMode="External" /><Relationship Type="http://schemas.openxmlformats.org/officeDocument/2006/relationships/hyperlink" Id="rId26" Target="../functional-overview/ftm-chip-provider.md" TargetMode="External" /><Relationship Type="http://schemas.openxmlformats.org/officeDocument/2006/relationships/hyperlink" Id="rId17" Target="../functional-overview/misp-partner-onboarding.md" TargetMode="External" /><Relationship Type="http://schemas.openxmlformats.org/officeDocument/2006/relationships/hyperlink" Id="rId34" Target="../functional-overview/pms-notification.md" TargetMode="External" /><Relationship Type="http://schemas.openxmlformats.org/officeDocument/2006/relationships/hyperlink" Id="rId20" Target="../functional-overview/policy-manager.md" TargetMode="External" /><Relationship Type="http://schemas.openxmlformats.org/officeDocument/2006/relationships/hyperlink" Id="rId12" Target="../overview/README.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2025-11-04T09:30:41Z</dcterms:created>
  <dcterms:modified xsi:type="dcterms:W3CDTF">2025-11-04T09:30:41Z</dcterms:modified>
</cp:coreProperties>
</file>

<file path=docProps/custom.xml><?xml version="1.0" encoding="utf-8"?>
<Properties xmlns="http://schemas.openxmlformats.org/officeDocument/2006/custom-properties" xmlns:vt="http://schemas.openxmlformats.org/officeDocument/2006/docPropsVTypes"/>
</file>