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X3450a13a539406f11387146305e4a8b2b891751"/>
    <w:p>
      <w:pPr>
        <w:pStyle w:val="Heading1"/>
      </w:pPr>
      <w:r>
        <w:t xml:space="preserve">MOSIP-CRVS Integration Guide — Information Architecture</w: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Date</w:t>
      </w:r>
      <w:r>
        <w:t xml:space="preserve">: 22 January 2026</w:t>
      </w:r>
      <w:r>
        <w:br/>
      </w:r>
      <w:r>
        <w:rPr>
          <w:b/>
          <w:bCs/>
        </w:rPr>
        <w:t xml:space="preserve">Status</w:t>
      </w:r>
      <w:r>
        <w:t xml:space="preserve">: Refined Information Architecture based on</w:t>
      </w:r>
      <w:r>
        <w:t xml:space="preserve"> </w:t>
      </w:r>
      <w:r>
        <w:t xml:space="preserve">‘gap-analysis by Keshav’</w:t>
      </w:r>
      <w:r>
        <w:t xml:space="preserve">, SME inputs, and OpenCRVS benchmarking reference.</w:t>
      </w:r>
      <w:r>
        <w:t xml:space="preserve"> </w:t>
      </w:r>
      <w:r>
        <w:rPr>
          <w:b/>
          <w:bCs/>
        </w:rPr>
        <w:t xml:space="preserve">Audience</w:t>
      </w:r>
      <w:r>
        <w:t xml:space="preserve">: Integration architects, CRVS implementers, technical writers, MOSIP system integrators</w:t>
      </w:r>
    </w:p>
    <w:p>
      <w:r>
        <w:pict>
          <v:rect style="width:0;height:1.5pt" o:hralign="center" o:hrstd="t" o:hr="t"/>
        </w:pict>
      </w:r>
    </w:p>
    <w:bookmarkStart w:id="9" w:name="document-purpose"/>
    <w:p>
      <w:pPr>
        <w:pStyle w:val="Heading2"/>
      </w:pPr>
      <w:r>
        <w:t xml:space="preserve">Document Purpose</w:t>
      </w:r>
    </w:p>
    <w:p>
      <w:pPr>
        <w:pStyle w:val="FirstParagraph"/>
      </w:pPr>
      <w:r>
        <w:t xml:space="preserve">This Information Architecture (IA) defines the</w:t>
      </w:r>
      <w:r>
        <w:t xml:space="preserve"> </w:t>
      </w:r>
      <w:r>
        <w:rPr>
          <w:b/>
          <w:bCs/>
        </w:rPr>
        <w:t xml:space="preserve">structural blueprint</w:t>
      </w:r>
      <w:r>
        <w:t xml:space="preserve"> </w:t>
      </w:r>
      <w:r>
        <w:t xml:space="preserve">for the MOSIP-CRVS Integration Guide. It ensures: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Logical content organization</w:t>
      </w:r>
      <w:r>
        <w:t xml:space="preserve"> </w:t>
      </w:r>
      <w:r>
        <w:t xml:space="preserve">for progressive disclosure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Clear user pathways</w:t>
      </w:r>
      <w:r>
        <w:t xml:space="preserve"> </w:t>
      </w:r>
      <w:r>
        <w:t xml:space="preserve">based on reader personas and goals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across technical, operational, and policy documentation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Alignment</w:t>
      </w:r>
      <w:r>
        <w:t xml:space="preserve"> </w:t>
      </w:r>
      <w:r>
        <w:t xml:space="preserve">with SME clarifications and industry best practices (OpenCRVS)</w:t>
      </w:r>
    </w:p>
    <w:p>
      <w:r>
        <w:pict>
          <v:rect style="width:0;height:1.5pt" o:hralign="center" o:hrstd="t" o:hr="t"/>
        </w:pict>
      </w:r>
    </w:p>
    <w:bookmarkEnd w:id="9"/>
    <w:bookmarkStart w:id="14" w:name="content-organization-principles"/>
    <w:p>
      <w:pPr>
        <w:pStyle w:val="Heading2"/>
      </w:pPr>
      <w:r>
        <w:t xml:space="preserve">Content Organization Principles</w:t>
      </w:r>
    </w:p>
    <w:bookmarkStart w:id="10" w:name="user-centered-structure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User-Centered Structure</w:t>
      </w:r>
    </w:p>
    <w:p>
      <w:pPr>
        <w:pStyle w:val="FirstParagraph"/>
      </w:pPr>
      <w:r>
        <w:t xml:space="preserve">Content organized by</w:t>
      </w:r>
      <w:r>
        <w:t xml:space="preserve"> </w:t>
      </w:r>
      <w:r>
        <w:rPr>
          <w:b/>
          <w:bCs/>
        </w:rPr>
        <w:t xml:space="preserve">user goals</w:t>
      </w:r>
      <w:r>
        <w:t xml:space="preserve">, not system components:</w:t>
      </w:r>
      <w:r>
        <w:t xml:space="preserve"> </w:t>
      </w:r>
      <w:r>
        <w:t xml:space="preserve">- Decision-makers need: Why integrate, what’s the scope, what are the constraints</w:t>
      </w:r>
      <w:r>
        <w:t xml:space="preserve"> </w:t>
      </w:r>
      <w:r>
        <w:t xml:space="preserve">- Architects need: System boundaries, data flows, security models</w:t>
      </w:r>
      <w:r>
        <w:t xml:space="preserve"> </w:t>
      </w:r>
      <w:r>
        <w:t xml:space="preserve">- Developers need: APIs, schemas, error handling, code examples</w:t>
      </w:r>
      <w:r>
        <w:t xml:space="preserve"> </w:t>
      </w:r>
      <w:r>
        <w:t xml:space="preserve">- Operators need: Monitoring, troubleshooting, configuration</w:t>
      </w:r>
    </w:p>
    <w:bookmarkEnd w:id="10"/>
    <w:bookmarkStart w:id="11" w:name="progressive-disclosure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Progressive Disclosure</w:t>
      </w:r>
    </w:p>
    <w:p>
      <w:pPr>
        <w:pStyle w:val="FirstParagraph"/>
      </w:pPr>
      <w:r>
        <w:t xml:space="preserve">Information layered from</w:t>
      </w:r>
      <w:r>
        <w:t xml:space="preserve"> </w:t>
      </w:r>
      <w:r>
        <w:rPr>
          <w:b/>
          <w:bCs/>
        </w:rPr>
        <w:t xml:space="preserve">high-level concepts → detailed specifications</w:t>
      </w:r>
      <w:r>
        <w:t xml:space="preserve">:</w:t>
      </w:r>
      <w:r>
        <w:t xml:space="preserve"> </w:t>
      </w:r>
      <w:r>
        <w:t xml:space="preserve">- Start with business context and objectives</w:t>
      </w:r>
      <w:r>
        <w:t xml:space="preserve"> </w:t>
      </w:r>
      <w:r>
        <w:t xml:space="preserve">- Move to integration patterns and workflows</w:t>
      </w:r>
      <w:r>
        <w:t xml:space="preserve"> </w:t>
      </w:r>
      <w:r>
        <w:t xml:space="preserve">- End with technical implementation details</w:t>
      </w:r>
    </w:p>
    <w:bookmarkEnd w:id="11"/>
    <w:bookmarkStart w:id="12" w:name="single-source-of-truth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Single Source of Truth</w:t>
      </w:r>
    </w:p>
    <w:p>
      <w:pPr>
        <w:pStyle w:val="FirstParagraph"/>
      </w:pPr>
      <w:r>
        <w:t xml:space="preserve">Each concept documented</w:t>
      </w:r>
      <w:r>
        <w:t xml:space="preserve"> </w:t>
      </w:r>
      <w:r>
        <w:rPr>
          <w:b/>
          <w:bCs/>
        </w:rPr>
        <w:t xml:space="preserve">once</w:t>
      </w:r>
      <w:r>
        <w:t xml:space="preserve">, referenced elsewhere:</w:t>
      </w:r>
      <w:r>
        <w:t xml:space="preserve"> </w:t>
      </w:r>
      <w:r>
        <w:t xml:space="preserve">- Avoid duplication between birth/death/update flows</w:t>
      </w:r>
      <w:r>
        <w:t xml:space="preserve"> </w:t>
      </w:r>
      <w:r>
        <w:t xml:space="preserve">- Centralize common elements (authentication, error handling)</w:t>
      </w:r>
      <w:r>
        <w:t xml:space="preserve"> </w:t>
      </w:r>
      <w:r>
        <w:t xml:space="preserve">- Use cross-references effectively</w:t>
      </w:r>
    </w:p>
    <w:bookmarkEnd w:id="12"/>
    <w:bookmarkStart w:id="13" w:name="separation-of-concerns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Separation of Concerns</w:t>
      </w:r>
    </w:p>
    <w:p>
      <w:pPr>
        <w:pStyle w:val="FirstParagraph"/>
      </w:pPr>
      <w:r>
        <w:t xml:space="preserve">Clear boundaries between: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(capabilities, use cases) vs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(implementation)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Default behavior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Optional extensions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Policy decisions</w:t>
      </w:r>
      <w:r>
        <w:t xml:space="preserve"> </w:t>
      </w:r>
      <w:r>
        <w:t xml:space="preserve">vs</w:t>
      </w:r>
      <w:r>
        <w:t xml:space="preserve"> </w:t>
      </w:r>
      <w:r>
        <w:rPr>
          <w:b/>
          <w:bCs/>
        </w:rPr>
        <w:t xml:space="preserve">Technical constraints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primary-navigation-structure"/>
    <w:p>
      <w:pPr>
        <w:pStyle w:val="Heading2"/>
      </w:pPr>
      <w:r>
        <w:t xml:space="preserve">Primary Navigation Structure</w:t>
      </w:r>
    </w:p>
    <w:p>
      <w:pPr>
        <w:pStyle w:val="SourceCode"/>
      </w:pPr>
      <w:r>
        <w:rPr>
          <w:rStyle w:val="VerbatimChar"/>
        </w:rPr>
        <w:t xml:space="preserve">1. Introduction &amp; Context</w:t>
      </w:r>
      <w:r>
        <w:br/>
      </w:r>
      <w:r>
        <w:rPr>
          <w:rStyle w:val="VerbatimChar"/>
        </w:rPr>
        <w:t xml:space="preserve">   ├─ 1.1 Purpose &amp; Audience</w:t>
      </w:r>
      <w:r>
        <w:br/>
      </w:r>
      <w:r>
        <w:rPr>
          <w:rStyle w:val="VerbatimChar"/>
        </w:rPr>
        <w:t xml:space="preserve">   ├─ 1.2 Integration Value Proposition</w:t>
      </w:r>
      <w:r>
        <w:br/>
      </w:r>
      <w:r>
        <w:rPr>
          <w:rStyle w:val="VerbatimChar"/>
        </w:rPr>
        <w:t xml:space="preserve">   ├─ 1.3 Document Navigation Guide</w:t>
      </w:r>
      <w:r>
        <w:br/>
      </w:r>
      <w:r>
        <w:rPr>
          <w:rStyle w:val="VerbatimChar"/>
        </w:rPr>
        <w:t xml:space="preserve">   └─ 1.4 Terminology &amp; Glossary</w:t>
      </w:r>
      <w:r>
        <w:br/>
      </w:r>
      <w:r>
        <w:br/>
      </w:r>
      <w:r>
        <w:rPr>
          <w:rStyle w:val="VerbatimChar"/>
        </w:rPr>
        <w:t xml:space="preserve">2. Integration Overview</w:t>
      </w:r>
      <w:r>
        <w:br/>
      </w:r>
      <w:r>
        <w:rPr>
          <w:rStyle w:val="VerbatimChar"/>
        </w:rPr>
        <w:t xml:space="preserve">   ├─ 2.1 CRVS and MOSIP Ecosystem</w:t>
      </w:r>
      <w:r>
        <w:br/>
      </w:r>
      <w:r>
        <w:rPr>
          <w:rStyle w:val="VerbatimChar"/>
        </w:rPr>
        <w:t xml:space="preserve">   ├─ 2.2 Integration Scope &amp; Boundaries</w:t>
      </w:r>
      <w:r>
        <w:br/>
      </w:r>
      <w:r>
        <w:rPr>
          <w:rStyle w:val="VerbatimChar"/>
        </w:rPr>
        <w:t xml:space="preserve">   ├─ 2.3 Supported Use Cases</w:t>
      </w:r>
      <w:r>
        <w:br/>
      </w:r>
      <w:r>
        <w:rPr>
          <w:rStyle w:val="VerbatimChar"/>
        </w:rPr>
        <w:t xml:space="preserve">   ├─ 2.4 What's NOT in Scope (Out-of-Scope)</w:t>
      </w:r>
      <w:r>
        <w:br/>
      </w:r>
      <w:r>
        <w:rPr>
          <w:rStyle w:val="VerbatimChar"/>
        </w:rPr>
        <w:t xml:space="preserve">   └─ 2.5 System Roles &amp; Responsibilities</w:t>
      </w:r>
      <w:r>
        <w:br/>
      </w:r>
      <w:r>
        <w:br/>
      </w:r>
      <w:r>
        <w:rPr>
          <w:rStyle w:val="VerbatimChar"/>
        </w:rPr>
        <w:t xml:space="preserve">3. Core Integration Principles</w:t>
      </w:r>
      <w:r>
        <w:br/>
      </w:r>
      <w:r>
        <w:rPr>
          <w:rStyle w:val="VerbatimChar"/>
        </w:rPr>
        <w:t xml:space="preserve">   ├─ 3.1 CRVS as Source of Truth</w:t>
      </w:r>
      <w:r>
        <w:br/>
      </w:r>
      <w:r>
        <w:rPr>
          <w:rStyle w:val="VerbatimChar"/>
        </w:rPr>
        <w:t xml:space="preserve">   ├─ 3.2 Trust &amp; Data Verification Model</w:t>
      </w:r>
      <w:r>
        <w:br/>
      </w:r>
      <w:r>
        <w:rPr>
          <w:rStyle w:val="VerbatimChar"/>
        </w:rPr>
        <w:t xml:space="preserve">   ├─ 3.3 Identity Lifecycle Management</w:t>
      </w:r>
      <w:r>
        <w:br/>
      </w:r>
      <w:r>
        <w:rPr>
          <w:rStyle w:val="VerbatimChar"/>
        </w:rPr>
        <w:t xml:space="preserve">   ├─ 3.4 De-duplication Strategy</w:t>
      </w:r>
      <w:r>
        <w:br/>
      </w:r>
      <w:r>
        <w:rPr>
          <w:rStyle w:val="VerbatimChar"/>
        </w:rPr>
        <w:t xml:space="preserve">   ├─ 3.5 Authentication &amp; Authorization Model</w:t>
      </w:r>
      <w:r>
        <w:br/>
      </w:r>
      <w:r>
        <w:rPr>
          <w:rStyle w:val="VerbatimChar"/>
        </w:rPr>
        <w:t xml:space="preserve">   └─ 3.6 Notification &amp; Event Architecture</w:t>
      </w:r>
      <w:r>
        <w:br/>
      </w:r>
      <w:r>
        <w:br/>
      </w:r>
      <w:r>
        <w:rPr>
          <w:rStyle w:val="VerbatimChar"/>
        </w:rPr>
        <w:t xml:space="preserve">4. Integration Patterns &amp; Workflows</w:t>
      </w:r>
      <w:r>
        <w:br/>
      </w:r>
      <w:r>
        <w:rPr>
          <w:rStyle w:val="VerbatimChar"/>
        </w:rPr>
        <w:t xml:space="preserve">   ├─ 4.1 Pattern Overview</w:t>
      </w:r>
      <w:r>
        <w:br/>
      </w:r>
      <w:r>
        <w:rPr>
          <w:rStyle w:val="VerbatimChar"/>
        </w:rPr>
        <w:t xml:space="preserve">   ├─ 4.2 Birth Registration → UIN Issuance</w:t>
      </w:r>
      <w:r>
        <w:br/>
      </w:r>
      <w:r>
        <w:rPr>
          <w:rStyle w:val="VerbatimChar"/>
        </w:rPr>
        <w:t xml:space="preserve">   │   ├─ 4.2.1 Standard Flow (With Parent Authentication)</w:t>
      </w:r>
      <w:r>
        <w:br/>
      </w:r>
      <w:r>
        <w:rPr>
          <w:rStyle w:val="VerbatimChar"/>
        </w:rPr>
        <w:t xml:space="preserve">   │   ├─ 4.2.2 Alternative Flow (Registrar Authentication)</w:t>
      </w:r>
      <w:r>
        <w:br/>
      </w:r>
      <w:r>
        <w:rPr>
          <w:rStyle w:val="VerbatimChar"/>
        </w:rPr>
        <w:t xml:space="preserve">   │   ├─ 4.2.3 Data Requirements &amp; Field Mappings</w:t>
      </w:r>
      <w:r>
        <w:br/>
      </w:r>
      <w:r>
        <w:rPr>
          <w:rStyle w:val="VerbatimChar"/>
        </w:rPr>
        <w:t xml:space="preserve">   │   ├─ 4.2.4 Sequence Diagram</w:t>
      </w:r>
      <w:r>
        <w:br/>
      </w:r>
      <w:r>
        <w:rPr>
          <w:rStyle w:val="VerbatimChar"/>
        </w:rPr>
        <w:t xml:space="preserve">   │   └─ 4.2.5 Error Scenarios &amp; Handling</w:t>
      </w:r>
      <w:r>
        <w:br/>
      </w:r>
      <w:r>
        <w:rPr>
          <w:rStyle w:val="VerbatimChar"/>
        </w:rPr>
        <w:t xml:space="preserve">   ├─ 4.3 Death Registration → Identity Status Update</w:t>
      </w:r>
      <w:r>
        <w:br/>
      </w:r>
      <w:r>
        <w:rPr>
          <w:rStyle w:val="VerbatimChar"/>
        </w:rPr>
        <w:t xml:space="preserve">   │   ├─ 4.3.1 Standard Flow (Informant Authentication)</w:t>
      </w:r>
      <w:r>
        <w:br/>
      </w:r>
      <w:r>
        <w:rPr>
          <w:rStyle w:val="VerbatimChar"/>
        </w:rPr>
        <w:t xml:space="preserve">   │   ├─ 4.3.2 Deceased Flag Behavior</w:t>
      </w:r>
      <w:r>
        <w:br/>
      </w:r>
      <w:r>
        <w:rPr>
          <w:rStyle w:val="VerbatimChar"/>
        </w:rPr>
        <w:t xml:space="preserve">   │   ├─ 4.3.3 Data Requirements &amp; Field Mappings</w:t>
      </w:r>
      <w:r>
        <w:br/>
      </w:r>
      <w:r>
        <w:rPr>
          <w:rStyle w:val="VerbatimChar"/>
        </w:rPr>
        <w:t xml:space="preserve">   │   ├─ 4.3.4 Sequence Diagram</w:t>
      </w:r>
      <w:r>
        <w:br/>
      </w:r>
      <w:r>
        <w:rPr>
          <w:rStyle w:val="VerbatimChar"/>
        </w:rPr>
        <w:t xml:space="preserve">   │   └─ 4.3.5 Error Scenarios &amp; Handling</w:t>
      </w:r>
      <w:r>
        <w:br/>
      </w:r>
      <w:r>
        <w:rPr>
          <w:rStyle w:val="VerbatimChar"/>
        </w:rPr>
        <w:t xml:space="preserve">   ├─ 4.4 Demographic Data Updates</w:t>
      </w:r>
      <w:r>
        <w:br/>
      </w:r>
      <w:r>
        <w:rPr>
          <w:rStyle w:val="VerbatimChar"/>
        </w:rPr>
        <w:t xml:space="preserve">   │   ├─ 4.4.1 Eligibility Criteria (Age, Biometric Status)</w:t>
      </w:r>
      <w:r>
        <w:br/>
      </w:r>
      <w:r>
        <w:rPr>
          <w:rStyle w:val="VerbatimChar"/>
        </w:rPr>
        <w:t xml:space="preserve">   │   ├─ 4.4.2 Permitted Update Fields</w:t>
      </w:r>
      <w:r>
        <w:br/>
      </w:r>
      <w:r>
        <w:rPr>
          <w:rStyle w:val="VerbatimChar"/>
        </w:rPr>
        <w:t xml:space="preserve">   │   ├─ 4.4.3 Update Flow &amp; Validation</w:t>
      </w:r>
      <w:r>
        <w:br/>
      </w:r>
      <w:r>
        <w:rPr>
          <w:rStyle w:val="VerbatimChar"/>
        </w:rPr>
        <w:t xml:space="preserve">   │   └─ 4.4.4 Sequence Diagram</w:t>
      </w:r>
      <w:r>
        <w:br/>
      </w:r>
      <w:r>
        <w:rPr>
          <w:rStyle w:val="VerbatimChar"/>
        </w:rPr>
        <w:t xml:space="preserve">   └─ 4.5 Rare/Exception Scenarios</w:t>
      </w:r>
      <w:r>
        <w:br/>
      </w:r>
      <w:r>
        <w:rPr>
          <w:rStyle w:val="VerbatimChar"/>
        </w:rPr>
        <w:t xml:space="preserve">       ├─ 4.5.1 Fraudulent Birth Registration → ID Deactivation</w:t>
      </w:r>
      <w:r>
        <w:br/>
      </w:r>
      <w:r>
        <w:rPr>
          <w:rStyle w:val="VerbatimChar"/>
        </w:rPr>
        <w:t xml:space="preserve">       ├─ 4.5.2 Reversing Deceased Flag (Adults)</w:t>
      </w:r>
      <w:r>
        <w:br/>
      </w:r>
      <w:r>
        <w:rPr>
          <w:rStyle w:val="VerbatimChar"/>
        </w:rPr>
        <w:t xml:space="preserve">       └─ 4.5.3 Manual Verification Workflows</w:t>
      </w:r>
      <w:r>
        <w:br/>
      </w:r>
      <w:r>
        <w:br/>
      </w:r>
      <w:r>
        <w:rPr>
          <w:rStyle w:val="VerbatimChar"/>
        </w:rPr>
        <w:t xml:space="preserve">5. Technical Architecture</w:t>
      </w:r>
      <w:r>
        <w:br/>
      </w:r>
      <w:r>
        <w:rPr>
          <w:rStyle w:val="VerbatimChar"/>
        </w:rPr>
        <w:t xml:space="preserve">   ├─ 5.1 System Integration Points</w:t>
      </w:r>
      <w:r>
        <w:br/>
      </w:r>
      <w:r>
        <w:rPr>
          <w:rStyle w:val="VerbatimChar"/>
        </w:rPr>
        <w:t xml:space="preserve">   │   ├─ MOSIP Packet Manager</w:t>
      </w:r>
      <w:r>
        <w:br/>
      </w:r>
      <w:r>
        <w:rPr>
          <w:rStyle w:val="VerbatimChar"/>
        </w:rPr>
        <w:t xml:space="preserve">   │   ├─ Identity Service</w:t>
      </w:r>
      <w:r>
        <w:br/>
      </w:r>
      <w:r>
        <w:rPr>
          <w:rStyle w:val="VerbatimChar"/>
        </w:rPr>
        <w:t xml:space="preserve">   │   ├─ Resident Services</w:t>
      </w:r>
      <w:r>
        <w:br/>
      </w:r>
      <w:r>
        <w:rPr>
          <w:rStyle w:val="VerbatimChar"/>
        </w:rPr>
        <w:t xml:space="preserve">   │   ├─ Kernel Master Data</w:t>
      </w:r>
      <w:r>
        <w:br/>
      </w:r>
      <w:r>
        <w:rPr>
          <w:rStyle w:val="VerbatimChar"/>
        </w:rPr>
        <w:t xml:space="preserve">   │   └─ WebSub Event Hub</w:t>
      </w:r>
      <w:r>
        <w:br/>
      </w:r>
      <w:r>
        <w:rPr>
          <w:rStyle w:val="VerbatimChar"/>
        </w:rPr>
        <w:t xml:space="preserve">   ├─ 5.2 Integration Topology</w:t>
      </w:r>
      <w:r>
        <w:br/>
      </w:r>
      <w:r>
        <w:rPr>
          <w:rStyle w:val="VerbatimChar"/>
        </w:rPr>
        <w:t xml:space="preserve">   ├─ 5.3 Data Flow Diagrams</w:t>
      </w:r>
      <w:r>
        <w:br/>
      </w:r>
      <w:r>
        <w:rPr>
          <w:rStyle w:val="VerbatimChar"/>
        </w:rPr>
        <w:t xml:space="preserve">   ├─ 5.4 Component Dependencies</w:t>
      </w:r>
      <w:r>
        <w:br/>
      </w:r>
      <w:r>
        <w:rPr>
          <w:rStyle w:val="VerbatimChar"/>
        </w:rPr>
        <w:t xml:space="preserve">   └─ 5.5 Deployment Architecture Considerations</w:t>
      </w:r>
      <w:r>
        <w:br/>
      </w:r>
      <w:r>
        <w:br/>
      </w:r>
      <w:r>
        <w:rPr>
          <w:rStyle w:val="VerbatimChar"/>
        </w:rPr>
        <w:t xml:space="preserve">6. API Reference &amp; Data Models</w:t>
      </w:r>
      <w:r>
        <w:br/>
      </w:r>
      <w:r>
        <w:rPr>
          <w:rStyle w:val="VerbatimChar"/>
        </w:rPr>
        <w:t xml:space="preserve">   ├─ 6.1 API Overview</w:t>
      </w:r>
      <w:r>
        <w:br/>
      </w:r>
      <w:r>
        <w:rPr>
          <w:rStyle w:val="VerbatimChar"/>
        </w:rPr>
        <w:t xml:space="preserve">   ├─ 6.2 Create Packet API</w:t>
      </w:r>
      <w:r>
        <w:br/>
      </w:r>
      <w:r>
        <w:rPr>
          <w:rStyle w:val="VerbatimChar"/>
        </w:rPr>
        <w:t xml:space="preserve">   │   ├─ 6.2.1 Endpoint &amp; Authentication</w:t>
      </w:r>
      <w:r>
        <w:br/>
      </w:r>
      <w:r>
        <w:rPr>
          <w:rStyle w:val="VerbatimChar"/>
        </w:rPr>
        <w:t xml:space="preserve">   │   ├─ 6.2.2 Request Structure</w:t>
      </w:r>
      <w:r>
        <w:br/>
      </w:r>
      <w:r>
        <w:rPr>
          <w:rStyle w:val="VerbatimChar"/>
        </w:rPr>
        <w:t xml:space="preserve">   │   ├─ 6.2.3 Provenance Fields (source, process)</w:t>
      </w:r>
      <w:r>
        <w:br/>
      </w:r>
      <w:r>
        <w:rPr>
          <w:rStyle w:val="VerbatimChar"/>
        </w:rPr>
        <w:t xml:space="preserve">   │   ├─ 6.2.4 Workflow Determination Logic</w:t>
      </w:r>
      <w:r>
        <w:br/>
      </w:r>
      <w:r>
        <w:rPr>
          <w:rStyle w:val="VerbatimChar"/>
        </w:rPr>
        <w:t xml:space="preserve">   │   └─ 6.2.5 Response Codes &amp; Payloads</w:t>
      </w:r>
      <w:r>
        <w:br/>
      </w:r>
      <w:r>
        <w:rPr>
          <w:rStyle w:val="VerbatimChar"/>
        </w:rPr>
        <w:t xml:space="preserve">   ├─ 6.3 Data Schemas</w:t>
      </w:r>
      <w:r>
        <w:br/>
      </w:r>
      <w:r>
        <w:rPr>
          <w:rStyle w:val="VerbatimChar"/>
        </w:rPr>
        <w:t xml:space="preserve">   │   ├─ 6.3.1 Birth Registration Packet Schema</w:t>
      </w:r>
      <w:r>
        <w:br/>
      </w:r>
      <w:r>
        <w:rPr>
          <w:rStyle w:val="VerbatimChar"/>
        </w:rPr>
        <w:t xml:space="preserve">   │   ├─ 6.3.2 Death Registration Packet Schema</w:t>
      </w:r>
      <w:r>
        <w:br/>
      </w:r>
      <w:r>
        <w:rPr>
          <w:rStyle w:val="VerbatimChar"/>
        </w:rPr>
        <w:t xml:space="preserve">   │   ├─ 6.3.3 Demographic Update Packet Schema</w:t>
      </w:r>
      <w:r>
        <w:br/>
      </w:r>
      <w:r>
        <w:rPr>
          <w:rStyle w:val="VerbatimChar"/>
        </w:rPr>
        <w:t xml:space="preserve">   │   └─ 6.3.4 ID Schema Extensions (Deceased Fields)</w:t>
      </w:r>
      <w:r>
        <w:br/>
      </w:r>
      <w:r>
        <w:rPr>
          <w:rStyle w:val="VerbatimChar"/>
        </w:rPr>
        <w:t xml:space="preserve">   ├─ 6.4 Field Mappings (CRVS ↔ MOSIP)</w:t>
      </w:r>
      <w:r>
        <w:br/>
      </w:r>
      <w:r>
        <w:rPr>
          <w:rStyle w:val="VerbatimChar"/>
        </w:rPr>
        <w:t xml:space="preserve">   ├─ 6.5 Mandatory vs Optional Attributes</w:t>
      </w:r>
      <w:r>
        <w:br/>
      </w:r>
      <w:r>
        <w:rPr>
          <w:rStyle w:val="VerbatimChar"/>
        </w:rPr>
        <w:t xml:space="preserve">   └─ 6.6 Data Validation Rules</w:t>
      </w:r>
      <w:r>
        <w:br/>
      </w:r>
      <w:r>
        <w:br/>
      </w:r>
      <w:r>
        <w:rPr>
          <w:rStyle w:val="VerbatimChar"/>
        </w:rPr>
        <w:t xml:space="preserve">7. Security &amp; Authentication</w:t>
      </w:r>
      <w:r>
        <w:br/>
      </w:r>
      <w:r>
        <w:rPr>
          <w:rStyle w:val="VerbatimChar"/>
        </w:rPr>
        <w:t xml:space="preserve">   ├─ 7.1 OAuth2 Client Setup</w:t>
      </w:r>
      <w:r>
        <w:br/>
      </w:r>
      <w:r>
        <w:rPr>
          <w:rStyle w:val="VerbatimChar"/>
        </w:rPr>
        <w:t xml:space="preserve">   │   ├─ 7.1.1 Creating Integration Clients</w:t>
      </w:r>
      <w:r>
        <w:br/>
      </w:r>
      <w:r>
        <w:rPr>
          <w:rStyle w:val="VerbatimChar"/>
        </w:rPr>
        <w:t xml:space="preserve">   │   ├─ 7.1.2 Client Types &amp; Permissions</w:t>
      </w:r>
      <w:r>
        <w:br/>
      </w:r>
      <w:r>
        <w:rPr>
          <w:rStyle w:val="VerbatimChar"/>
        </w:rPr>
        <w:t xml:space="preserve">   │   ├─ 7.1.3 Credential Management &amp; Rotation</w:t>
      </w:r>
      <w:r>
        <w:br/>
      </w:r>
      <w:r>
        <w:rPr>
          <w:rStyle w:val="VerbatimChar"/>
        </w:rPr>
        <w:t xml:space="preserve">   │   └─ 7.1.4 Client Lifecycle (Activate/Deactivate)</w:t>
      </w:r>
      <w:r>
        <w:br/>
      </w:r>
      <w:r>
        <w:rPr>
          <w:rStyle w:val="VerbatimChar"/>
        </w:rPr>
        <w:t xml:space="preserve">   ├─ 7.2 eSignet Authentication</w:t>
      </w:r>
      <w:r>
        <w:br/>
      </w:r>
      <w:r>
        <w:rPr>
          <w:rStyle w:val="VerbatimChar"/>
        </w:rPr>
        <w:t xml:space="preserve">   │   ├─ 7.2.1 Parent/Informant Authentication Flow</w:t>
      </w:r>
      <w:r>
        <w:br/>
      </w:r>
      <w:r>
        <w:rPr>
          <w:rStyle w:val="VerbatimChar"/>
        </w:rPr>
        <w:t xml:space="preserve">   │   ├─ 7.2.2 User Info Token Validation</w:t>
      </w:r>
      <w:r>
        <w:br/>
      </w:r>
      <w:r>
        <w:rPr>
          <w:rStyle w:val="VerbatimChar"/>
        </w:rPr>
        <w:t xml:space="preserve">   │   └─ 7.2.3 Alternative: Registrar Authentication</w:t>
      </w:r>
      <w:r>
        <w:br/>
      </w:r>
      <w:r>
        <w:rPr>
          <w:rStyle w:val="VerbatimChar"/>
        </w:rPr>
        <w:t xml:space="preserve">   ├─ 7.3 Audit &amp; Traceability</w:t>
      </w:r>
      <w:r>
        <w:br/>
      </w:r>
      <w:r>
        <w:rPr>
          <w:rStyle w:val="VerbatimChar"/>
        </w:rPr>
        <w:t xml:space="preserve">   ├─ 7.4 Data Privacy &amp; PII Protection</w:t>
      </w:r>
      <w:r>
        <w:br/>
      </w:r>
      <w:r>
        <w:rPr>
          <w:rStyle w:val="VerbatimChar"/>
        </w:rPr>
        <w:t xml:space="preserve">   └─ 7.5 Security Best Practices</w:t>
      </w:r>
      <w:r>
        <w:br/>
      </w:r>
      <w:r>
        <w:br/>
      </w:r>
      <w:r>
        <w:rPr>
          <w:rStyle w:val="VerbatimChar"/>
        </w:rPr>
        <w:t xml:space="preserve">8. Notifications &amp; Event Handling</w:t>
      </w:r>
      <w:r>
        <w:br/>
      </w:r>
      <w:r>
        <w:rPr>
          <w:rStyle w:val="VerbatimChar"/>
        </w:rPr>
        <w:t xml:space="preserve">   ├─ 8.1 Notification Architecture</w:t>
      </w:r>
      <w:r>
        <w:br/>
      </w:r>
      <w:r>
        <w:rPr>
          <w:rStyle w:val="VerbatimChar"/>
        </w:rPr>
        <w:t xml:space="preserve">   ├─ 8.2 Default Resident Notifications</w:t>
      </w:r>
      <w:r>
        <w:br/>
      </w:r>
      <w:r>
        <w:rPr>
          <w:rStyle w:val="VerbatimChar"/>
        </w:rPr>
        <w:t xml:space="preserve">   ├─ 8.3 Optional WebSub Integration</w:t>
      </w:r>
      <w:r>
        <w:br/>
      </w:r>
      <w:r>
        <w:rPr>
          <w:rStyle w:val="VerbatimChar"/>
        </w:rPr>
        <w:t xml:space="preserve">   │   ├─ 8.3.1 Subscribing to MOSIP Events</w:t>
      </w:r>
      <w:r>
        <w:br/>
      </w:r>
      <w:r>
        <w:rPr>
          <w:rStyle w:val="VerbatimChar"/>
        </w:rPr>
        <w:t xml:space="preserve">   │   ├─ 8.3.2 Credential Issuance Notifications</w:t>
      </w:r>
      <w:r>
        <w:br/>
      </w:r>
      <w:r>
        <w:rPr>
          <w:rStyle w:val="VerbatimChar"/>
        </w:rPr>
        <w:t xml:space="preserve">   │   ├─ 8.3.3 Packet Status Updates</w:t>
      </w:r>
      <w:r>
        <w:br/>
      </w:r>
      <w:r>
        <w:rPr>
          <w:rStyle w:val="VerbatimChar"/>
        </w:rPr>
        <w:t xml:space="preserve">   │   └─ 8.3.4 Event Filtering &amp; Routing</w:t>
      </w:r>
      <w:r>
        <w:br/>
      </w:r>
      <w:r>
        <w:rPr>
          <w:rStyle w:val="VerbatimChar"/>
        </w:rPr>
        <w:t xml:space="preserve">   └─ 8.4 Event Payload Specifications</w:t>
      </w:r>
      <w:r>
        <w:br/>
      </w:r>
      <w:r>
        <w:br/>
      </w:r>
      <w:r>
        <w:rPr>
          <w:rStyle w:val="VerbatimChar"/>
        </w:rPr>
        <w:t xml:space="preserve">9. Error Handling &amp; Reconciliation</w:t>
      </w:r>
      <w:r>
        <w:br/>
      </w:r>
      <w:r>
        <w:rPr>
          <w:rStyle w:val="VerbatimChar"/>
        </w:rPr>
        <w:t xml:space="preserve">   ├─ 9.1 Error Classification</w:t>
      </w:r>
      <w:r>
        <w:br/>
      </w:r>
      <w:r>
        <w:rPr>
          <w:rStyle w:val="VerbatimChar"/>
        </w:rPr>
        <w:t xml:space="preserve">   │   ├─ Validation Errors</w:t>
      </w:r>
      <w:r>
        <w:br/>
      </w:r>
      <w:r>
        <w:rPr>
          <w:rStyle w:val="VerbatimChar"/>
        </w:rPr>
        <w:t xml:space="preserve">   │   ├─ Technical Failures</w:t>
      </w:r>
      <w:r>
        <w:br/>
      </w:r>
      <w:r>
        <w:rPr>
          <w:rStyle w:val="VerbatimChar"/>
        </w:rPr>
        <w:t xml:space="preserve">   │   └─ Business Rule Violations</w:t>
      </w:r>
      <w:r>
        <w:br/>
      </w:r>
      <w:r>
        <w:rPr>
          <w:rStyle w:val="VerbatimChar"/>
        </w:rPr>
        <w:t xml:space="preserve">   ├─ 9.2 Retry &amp; Idempotency</w:t>
      </w:r>
      <w:r>
        <w:br/>
      </w:r>
      <w:r>
        <w:rPr>
          <w:rStyle w:val="VerbatimChar"/>
        </w:rPr>
        <w:t xml:space="preserve">   │   ├─ 9.2.1 Idempotent Request IDs (externalId, packetId)</w:t>
      </w:r>
      <w:r>
        <w:br/>
      </w:r>
      <w:r>
        <w:rPr>
          <w:rStyle w:val="VerbatimChar"/>
        </w:rPr>
        <w:t xml:space="preserve">   │   ├─ 9.2.2 Retry Strategy &amp; Backoff</w:t>
      </w:r>
      <w:r>
        <w:br/>
      </w:r>
      <w:r>
        <w:rPr>
          <w:rStyle w:val="VerbatimChar"/>
        </w:rPr>
        <w:t xml:space="preserve">   │   └─ 9.2.3 Duplicate Detection</w:t>
      </w:r>
      <w:r>
        <w:br/>
      </w:r>
      <w:r>
        <w:rPr>
          <w:rStyle w:val="VerbatimChar"/>
        </w:rPr>
        <w:t xml:space="preserve">   ├─ 9.3 Failure Notification Model</w:t>
      </w:r>
      <w:r>
        <w:br/>
      </w:r>
      <w:r>
        <w:rPr>
          <w:rStyle w:val="VerbatimChar"/>
        </w:rPr>
        <w:t xml:space="preserve">   │   ├─ Why CRVS Doesn't Receive Direct Failure Notifications</w:t>
      </w:r>
      <w:r>
        <w:br/>
      </w:r>
      <w:r>
        <w:rPr>
          <w:rStyle w:val="VerbatimChar"/>
        </w:rPr>
        <w:t xml:space="preserve">   │   └─ Resident-Centric Error Communication</w:t>
      </w:r>
      <w:r>
        <w:br/>
      </w:r>
      <w:r>
        <w:rPr>
          <w:rStyle w:val="VerbatimChar"/>
        </w:rPr>
        <w:t xml:space="preserve">   ├─ 9.4 Reconciliation Mechanisms</w:t>
      </w:r>
      <w:r>
        <w:br/>
      </w:r>
      <w:r>
        <w:rPr>
          <w:rStyle w:val="VerbatimChar"/>
        </w:rPr>
        <w:t xml:space="preserve">   │   ├─ Log Analysis</w:t>
      </w:r>
      <w:r>
        <w:br/>
      </w:r>
      <w:r>
        <w:rPr>
          <w:rStyle w:val="VerbatimChar"/>
        </w:rPr>
        <w:t xml:space="preserve">   │   ├─ Event Stream Replay</w:t>
      </w:r>
      <w:r>
        <w:br/>
      </w:r>
      <w:r>
        <w:rPr>
          <w:rStyle w:val="VerbatimChar"/>
        </w:rPr>
        <w:t xml:space="preserve">   │   └─ Manual Intervention Workflows</w:t>
      </w:r>
      <w:r>
        <w:br/>
      </w:r>
      <w:r>
        <w:rPr>
          <w:rStyle w:val="VerbatimChar"/>
        </w:rPr>
        <w:t xml:space="preserve">   └─ 9.5 Common Error Scenarios &amp; Resolutions</w:t>
      </w:r>
      <w:r>
        <w:br/>
      </w:r>
      <w:r>
        <w:br/>
      </w:r>
      <w:r>
        <w:rPr>
          <w:rStyle w:val="VerbatimChar"/>
        </w:rPr>
        <w:t xml:space="preserve">10. Policy Configuration &amp; Customization</w:t>
      </w:r>
      <w:r>
        <w:br/>
      </w:r>
      <w:r>
        <w:rPr>
          <w:rStyle w:val="VerbatimChar"/>
        </w:rPr>
        <w:t xml:space="preserve">    ├─ 10.1 Country-Specific Policies</w:t>
      </w:r>
      <w:r>
        <w:br/>
      </w:r>
      <w:r>
        <w:rPr>
          <w:rStyle w:val="VerbatimChar"/>
        </w:rPr>
        <w:t xml:space="preserve">    │   ├─ Biometric Age Threshold</w:t>
      </w:r>
      <w:r>
        <w:br/>
      </w:r>
      <w:r>
        <w:rPr>
          <w:rStyle w:val="VerbatimChar"/>
        </w:rPr>
        <w:t xml:space="preserve">    │   ├─ Introducer/Informant Rules</w:t>
      </w:r>
      <w:r>
        <w:br/>
      </w:r>
      <w:r>
        <w:rPr>
          <w:rStyle w:val="VerbatimChar"/>
        </w:rPr>
        <w:t xml:space="preserve">    │   ├─ Permitted Update Fields</w:t>
      </w:r>
      <w:r>
        <w:br/>
      </w:r>
      <w:r>
        <w:rPr>
          <w:rStyle w:val="VerbatimChar"/>
        </w:rPr>
        <w:t xml:space="preserve">    │   └─ Deceased Flag Reversal Policies</w:t>
      </w:r>
      <w:r>
        <w:br/>
      </w:r>
      <w:r>
        <w:rPr>
          <w:rStyle w:val="VerbatimChar"/>
        </w:rPr>
        <w:t xml:space="preserve">    ├─ 10.2 Configuration Management</w:t>
      </w:r>
      <w:r>
        <w:br/>
      </w:r>
      <w:r>
        <w:rPr>
          <w:rStyle w:val="VerbatimChar"/>
        </w:rPr>
        <w:t xml:space="preserve">    │   ├─ ID Schema Customization</w:t>
      </w:r>
      <w:r>
        <w:br/>
      </w:r>
      <w:r>
        <w:rPr>
          <w:rStyle w:val="VerbatimChar"/>
        </w:rPr>
        <w:t xml:space="preserve">    │   ├─ Workflow Stage Configuration</w:t>
      </w:r>
      <w:r>
        <w:br/>
      </w:r>
      <w:r>
        <w:rPr>
          <w:rStyle w:val="VerbatimChar"/>
        </w:rPr>
        <w:t xml:space="preserve">    │   └─ Notification Template Customization</w:t>
      </w:r>
      <w:r>
        <w:br/>
      </w:r>
      <w:r>
        <w:rPr>
          <w:rStyle w:val="VerbatimChar"/>
        </w:rPr>
        <w:t xml:space="preserve">    ├─ 10.3 De-duplication Policy</w:t>
      </w:r>
      <w:r>
        <w:br/>
      </w:r>
      <w:r>
        <w:rPr>
          <w:rStyle w:val="VerbatimChar"/>
        </w:rPr>
        <w:t xml:space="preserve">    │   ├─ Why De-duplication is Disabled for CRVS</w:t>
      </w:r>
      <w:r>
        <w:br/>
      </w:r>
      <w:r>
        <w:rPr>
          <w:rStyle w:val="VerbatimChar"/>
        </w:rPr>
        <w:t xml:space="preserve">    │   └─ Risk Assessment &amp; Mitigation</w:t>
      </w:r>
      <w:r>
        <w:br/>
      </w:r>
      <w:r>
        <w:rPr>
          <w:rStyle w:val="VerbatimChar"/>
        </w:rPr>
        <w:t xml:space="preserve">    └─ 10.4 Data Retention &amp; Archival</w:t>
      </w:r>
      <w:r>
        <w:br/>
      </w:r>
      <w:r>
        <w:br/>
      </w:r>
      <w:r>
        <w:rPr>
          <w:rStyle w:val="VerbatimChar"/>
        </w:rPr>
        <w:t xml:space="preserve">11. Operational Considerations</w:t>
      </w:r>
      <w:r>
        <w:br/>
      </w:r>
      <w:r>
        <w:rPr>
          <w:rStyle w:val="VerbatimChar"/>
        </w:rPr>
        <w:t xml:space="preserve">    ├─ 11.1 Prerequisites &amp; System Requirements</w:t>
      </w:r>
      <w:r>
        <w:br/>
      </w:r>
      <w:r>
        <w:rPr>
          <w:rStyle w:val="VerbatimChar"/>
        </w:rPr>
        <w:t xml:space="preserve">    │   ├─ MOSIP Version Compatibility</w:t>
      </w:r>
      <w:r>
        <w:br/>
      </w:r>
      <w:r>
        <w:rPr>
          <w:rStyle w:val="VerbatimChar"/>
        </w:rPr>
        <w:t xml:space="preserve">    │   ├─ Infrastructure Requirements</w:t>
      </w:r>
      <w:r>
        <w:br/>
      </w:r>
      <w:r>
        <w:rPr>
          <w:rStyle w:val="VerbatimChar"/>
        </w:rPr>
        <w:t xml:space="preserve">    │   ├─ Network Requirements</w:t>
      </w:r>
      <w:r>
        <w:br/>
      </w:r>
      <w:r>
        <w:rPr>
          <w:rStyle w:val="VerbatimChar"/>
        </w:rPr>
        <w:t xml:space="preserve">    │   └─ Security Prerequisites</w:t>
      </w:r>
      <w:r>
        <w:br/>
      </w:r>
      <w:r>
        <w:rPr>
          <w:rStyle w:val="VerbatimChar"/>
        </w:rPr>
        <w:t xml:space="preserve">    ├─ 11.2 Deployment &amp; Installation</w:t>
      </w:r>
      <w:r>
        <w:br/>
      </w:r>
      <w:r>
        <w:rPr>
          <w:rStyle w:val="VerbatimChar"/>
        </w:rPr>
        <w:t xml:space="preserve">    │   ├─ Integration Setup Checklist</w:t>
      </w:r>
      <w:r>
        <w:br/>
      </w:r>
      <w:r>
        <w:rPr>
          <w:rStyle w:val="VerbatimChar"/>
        </w:rPr>
        <w:t xml:space="preserve">    │   ├─ Configuration Steps</w:t>
      </w:r>
      <w:r>
        <w:br/>
      </w:r>
      <w:r>
        <w:rPr>
          <w:rStyle w:val="VerbatimChar"/>
        </w:rPr>
        <w:t xml:space="preserve">    │   └─ Testing Pre-Production Integration</w:t>
      </w:r>
      <w:r>
        <w:br/>
      </w:r>
      <w:r>
        <w:rPr>
          <w:rStyle w:val="VerbatimChar"/>
        </w:rPr>
        <w:t xml:space="preserve">    ├─ 11.3 Monitoring &amp; Observability</w:t>
      </w:r>
      <w:r>
        <w:br/>
      </w:r>
      <w:r>
        <w:rPr>
          <w:rStyle w:val="VerbatimChar"/>
        </w:rPr>
        <w:t xml:space="preserve">    │   ├─ Key Metrics to Track</w:t>
      </w:r>
      <w:r>
        <w:br/>
      </w:r>
      <w:r>
        <w:rPr>
          <w:rStyle w:val="VerbatimChar"/>
        </w:rPr>
        <w:t xml:space="preserve">    │   ├─ Health Check Endpoints</w:t>
      </w:r>
      <w:r>
        <w:br/>
      </w:r>
      <w:r>
        <w:rPr>
          <w:rStyle w:val="VerbatimChar"/>
        </w:rPr>
        <w:t xml:space="preserve">    │   ├─ Log Aggregation</w:t>
      </w:r>
      <w:r>
        <w:br/>
      </w:r>
      <w:r>
        <w:rPr>
          <w:rStyle w:val="VerbatimChar"/>
        </w:rPr>
        <w:t xml:space="preserve">    │   └─ Alerting Rules</w:t>
      </w:r>
      <w:r>
        <w:br/>
      </w:r>
      <w:r>
        <w:rPr>
          <w:rStyle w:val="VerbatimChar"/>
        </w:rPr>
        <w:t xml:space="preserve">    ├─ 11.4 Performance &amp; Scalability</w:t>
      </w:r>
      <w:r>
        <w:br/>
      </w:r>
      <w:r>
        <w:rPr>
          <w:rStyle w:val="VerbatimChar"/>
        </w:rPr>
        <w:t xml:space="preserve">    │   ├─ Expected Throughput</w:t>
      </w:r>
      <w:r>
        <w:br/>
      </w:r>
      <w:r>
        <w:rPr>
          <w:rStyle w:val="VerbatimChar"/>
        </w:rPr>
        <w:t xml:space="preserve">    │   ├─ Rate Limits</w:t>
      </w:r>
      <w:r>
        <w:br/>
      </w:r>
      <w:r>
        <w:rPr>
          <w:rStyle w:val="VerbatimChar"/>
        </w:rPr>
        <w:t xml:space="preserve">    │   └─ Optimization Strategies</w:t>
      </w:r>
      <w:r>
        <w:br/>
      </w:r>
      <w:r>
        <w:rPr>
          <w:rStyle w:val="VerbatimChar"/>
        </w:rPr>
        <w:t xml:space="preserve">    └─ 11.5 Maintenance &amp; Support</w:t>
      </w:r>
      <w:r>
        <w:br/>
      </w:r>
      <w:r>
        <w:br/>
      </w:r>
      <w:r>
        <w:rPr>
          <w:rStyle w:val="VerbatimChar"/>
        </w:rPr>
        <w:t xml:space="preserve">12. Testing &amp; Validation</w:t>
      </w:r>
      <w:r>
        <w:br/>
      </w:r>
      <w:r>
        <w:rPr>
          <w:rStyle w:val="VerbatimChar"/>
        </w:rPr>
        <w:t xml:space="preserve">    ├─ 12.1 Testing Strategy</w:t>
      </w:r>
      <w:r>
        <w:br/>
      </w:r>
      <w:r>
        <w:rPr>
          <w:rStyle w:val="VerbatimChar"/>
        </w:rPr>
        <w:t xml:space="preserve">    ├─ 12.2 Test Environment Setup</w:t>
      </w:r>
      <w:r>
        <w:br/>
      </w:r>
      <w:r>
        <w:rPr>
          <w:rStyle w:val="VerbatimChar"/>
        </w:rPr>
        <w:t xml:space="preserve">    ├─ 12.3 Test Scenarios</w:t>
      </w:r>
      <w:r>
        <w:br/>
      </w:r>
      <w:r>
        <w:rPr>
          <w:rStyle w:val="VerbatimChar"/>
        </w:rPr>
        <w:t xml:space="preserve">    │   ├─ 12.3.1 Birth Registration (Happy Path)</w:t>
      </w:r>
      <w:r>
        <w:br/>
      </w:r>
      <w:r>
        <w:rPr>
          <w:rStyle w:val="VerbatimChar"/>
        </w:rPr>
        <w:t xml:space="preserve">    │   ├─ 12.3.2 Birth Registration (Error Cases)</w:t>
      </w:r>
      <w:r>
        <w:br/>
      </w:r>
      <w:r>
        <w:rPr>
          <w:rStyle w:val="VerbatimChar"/>
        </w:rPr>
        <w:t xml:space="preserve">    │   ├─ 12.3.3 Death Registration (Happy Path)</w:t>
      </w:r>
      <w:r>
        <w:br/>
      </w:r>
      <w:r>
        <w:rPr>
          <w:rStyle w:val="VerbatimChar"/>
        </w:rPr>
        <w:t xml:space="preserve">    │   ├─ 12.3.4 Death Registration (Error Cases)</w:t>
      </w:r>
      <w:r>
        <w:br/>
      </w:r>
      <w:r>
        <w:rPr>
          <w:rStyle w:val="VerbatimChar"/>
        </w:rPr>
        <w:t xml:space="preserve">    │   ├─ 12.3.5 Demographic Updates</w:t>
      </w:r>
      <w:r>
        <w:br/>
      </w:r>
      <w:r>
        <w:rPr>
          <w:rStyle w:val="VerbatimChar"/>
        </w:rPr>
        <w:t xml:space="preserve">    │   └─ 12.3.6 Exception Scenarios (Deactivation/Reversal)</w:t>
      </w:r>
      <w:r>
        <w:br/>
      </w:r>
      <w:r>
        <w:rPr>
          <w:rStyle w:val="VerbatimChar"/>
        </w:rPr>
        <w:t xml:space="preserve">    ├─ 12.4 Mock Data &amp; Sample Payloads</w:t>
      </w:r>
      <w:r>
        <w:br/>
      </w:r>
      <w:r>
        <w:rPr>
          <w:rStyle w:val="VerbatimChar"/>
        </w:rPr>
        <w:t xml:space="preserve">    ├─ 12.5 Validation Checklist</w:t>
      </w:r>
      <w:r>
        <w:br/>
      </w:r>
      <w:r>
        <w:rPr>
          <w:rStyle w:val="VerbatimChar"/>
        </w:rPr>
        <w:t xml:space="preserve">    └─ 12.6 User Acceptance Testing (UAT)</w:t>
      </w:r>
      <w:r>
        <w:br/>
      </w:r>
      <w:r>
        <w:br/>
      </w:r>
      <w:r>
        <w:rPr>
          <w:rStyle w:val="VerbatimChar"/>
        </w:rPr>
        <w:t xml:space="preserve">13. Code Examples &amp; Reference Implementations</w:t>
      </w:r>
      <w:r>
        <w:br/>
      </w:r>
      <w:r>
        <w:rPr>
          <w:rStyle w:val="VerbatimChar"/>
        </w:rPr>
        <w:t xml:space="preserve">    ├─ 13.1 API Request Examples (cURL)</w:t>
      </w:r>
      <w:r>
        <w:br/>
      </w:r>
      <w:r>
        <w:rPr>
          <w:rStyle w:val="VerbatimChar"/>
        </w:rPr>
        <w:t xml:space="preserve">    ├─ 13.2 SDK Usage Examples</w:t>
      </w:r>
      <w:r>
        <w:br/>
      </w:r>
      <w:r>
        <w:rPr>
          <w:rStyle w:val="VerbatimChar"/>
        </w:rPr>
        <w:t xml:space="preserve">    │   ├─ Java</w:t>
      </w:r>
      <w:r>
        <w:br/>
      </w:r>
      <w:r>
        <w:rPr>
          <w:rStyle w:val="VerbatimChar"/>
        </w:rPr>
        <w:t xml:space="preserve">    │   ├─ Python</w:t>
      </w:r>
      <w:r>
        <w:br/>
      </w:r>
      <w:r>
        <w:rPr>
          <w:rStyle w:val="VerbatimChar"/>
        </w:rPr>
        <w:t xml:space="preserve">    │   └─ Node.js</w:t>
      </w:r>
      <w:r>
        <w:br/>
      </w:r>
      <w:r>
        <w:rPr>
          <w:rStyle w:val="VerbatimChar"/>
        </w:rPr>
        <w:t xml:space="preserve">    ├─ 13.3 Webhook Implementation Examples</w:t>
      </w:r>
      <w:r>
        <w:br/>
      </w:r>
      <w:r>
        <w:rPr>
          <w:rStyle w:val="VerbatimChar"/>
        </w:rPr>
        <w:t xml:space="preserve">    ├─ 13.4 Error Handling Patterns</w:t>
      </w:r>
      <w:r>
        <w:br/>
      </w:r>
      <w:r>
        <w:rPr>
          <w:rStyle w:val="VerbatimChar"/>
        </w:rPr>
        <w:t xml:space="preserve">    └─ 13.5 Reference Integration Code (GitHub)</w:t>
      </w:r>
      <w:r>
        <w:br/>
      </w:r>
      <w:r>
        <w:br/>
      </w:r>
      <w:r>
        <w:rPr>
          <w:rStyle w:val="VerbatimChar"/>
        </w:rPr>
        <w:t xml:space="preserve">14. Troubleshooting Guide</w:t>
      </w:r>
      <w:r>
        <w:br/>
      </w:r>
      <w:r>
        <w:rPr>
          <w:rStyle w:val="VerbatimChar"/>
        </w:rPr>
        <w:t xml:space="preserve">    ├─ 14.1 Common Issues &amp; Solutions</w:t>
      </w:r>
      <w:r>
        <w:br/>
      </w:r>
      <w:r>
        <w:rPr>
          <w:rStyle w:val="VerbatimChar"/>
        </w:rPr>
        <w:t xml:space="preserve">    ├─ 14.2 Debugging Steps</w:t>
      </w:r>
      <w:r>
        <w:br/>
      </w:r>
      <w:r>
        <w:rPr>
          <w:rStyle w:val="VerbatimChar"/>
        </w:rPr>
        <w:t xml:space="preserve">    ├─ 14.3 Log Analysis Guide</w:t>
      </w:r>
      <w:r>
        <w:br/>
      </w:r>
      <w:r>
        <w:rPr>
          <w:rStyle w:val="VerbatimChar"/>
        </w:rPr>
        <w:t xml:space="preserve">    ├─ 14.4 Support Escalation Path</w:t>
      </w:r>
      <w:r>
        <w:br/>
      </w:r>
      <w:r>
        <w:rPr>
          <w:rStyle w:val="VerbatimChar"/>
        </w:rPr>
        <w:t xml:space="preserve">    └─ 14.5 Known Issues &amp; Workarounds</w:t>
      </w:r>
      <w:r>
        <w:br/>
      </w:r>
      <w:r>
        <w:br/>
      </w:r>
      <w:r>
        <w:rPr>
          <w:rStyle w:val="VerbatimChar"/>
        </w:rPr>
        <w:t xml:space="preserve">15. Appendices &amp; References</w:t>
      </w:r>
      <w:r>
        <w:br/>
      </w:r>
      <w:r>
        <w:rPr>
          <w:rStyle w:val="VerbatimChar"/>
        </w:rPr>
        <w:t xml:space="preserve">    ├─ 15.1 Glossary of Terms</w:t>
      </w:r>
      <w:r>
        <w:br/>
      </w:r>
      <w:r>
        <w:rPr>
          <w:rStyle w:val="VerbatimChar"/>
        </w:rPr>
        <w:t xml:space="preserve">    ├─ 15.2 Acronyms &amp; Abbreviations</w:t>
      </w:r>
      <w:r>
        <w:br/>
      </w:r>
      <w:r>
        <w:rPr>
          <w:rStyle w:val="VerbatimChar"/>
        </w:rPr>
        <w:t xml:space="preserve">    ├─ 15.3 References &amp; Standards</w:t>
      </w:r>
      <w:r>
        <w:br/>
      </w:r>
      <w:r>
        <w:rPr>
          <w:rStyle w:val="VerbatimChar"/>
        </w:rPr>
        <w:t xml:space="preserve">    │   ├─ OpenCRVS Interoperability</w:t>
      </w:r>
      <w:r>
        <w:br/>
      </w:r>
      <w:r>
        <w:rPr>
          <w:rStyle w:val="VerbatimChar"/>
        </w:rPr>
        <w:t xml:space="preserve">    │   ├─ ID4D Practitioner's Guide</w:t>
      </w:r>
      <w:r>
        <w:br/>
      </w:r>
      <w:r>
        <w:rPr>
          <w:rStyle w:val="VerbatimChar"/>
        </w:rPr>
        <w:t xml:space="preserve">    │   ├─ FHIR Standards</w:t>
      </w:r>
      <w:r>
        <w:br/>
      </w:r>
      <w:r>
        <w:rPr>
          <w:rStyle w:val="VerbatimChar"/>
        </w:rPr>
        <w:t xml:space="preserve">    │   ├─ Australia Interoperability Framework</w:t>
      </w:r>
      <w:r>
        <w:br/>
      </w:r>
      <w:r>
        <w:rPr>
          <w:rStyle w:val="VerbatimChar"/>
        </w:rPr>
        <w:t xml:space="preserve">    │   └─ UNICEF Legal Identity Guidance</w:t>
      </w:r>
      <w:r>
        <w:br/>
      </w:r>
      <w:r>
        <w:rPr>
          <w:rStyle w:val="VerbatimChar"/>
        </w:rPr>
        <w:t xml:space="preserve">    ├─ 15.4 FAQ</w:t>
      </w:r>
      <w:r>
        <w:br/>
      </w:r>
      <w:r>
        <w:rPr>
          <w:rStyle w:val="VerbatimChar"/>
        </w:rPr>
        <w:t xml:space="preserve">    ├─ 15.5 Change Log</w:t>
      </w:r>
      <w:r>
        <w:br/>
      </w:r>
      <w:r>
        <w:rPr>
          <w:rStyle w:val="VerbatimChar"/>
        </w:rPr>
        <w:t xml:space="preserve">    └─ 15.6 Contact Information</w:t>
      </w:r>
    </w:p>
    <w:p>
      <w:r>
        <w:pict>
          <v:rect style="width:0;height:1.5pt" o:hralign="center" o:hrstd="t" o:hr="t"/>
        </w:pict>
      </w:r>
    </w:p>
    <w:bookmarkEnd w:id="15"/>
    <w:bookmarkStart w:id="31" w:name="information-architecture-rationale"/>
    <w:p>
      <w:pPr>
        <w:pStyle w:val="Heading2"/>
      </w:pPr>
      <w:r>
        <w:t xml:space="preserve">Information Architecture Rationale</w:t>
      </w:r>
    </w:p>
    <w:bookmarkStart w:id="16" w:name="section-1-introduction-context"/>
    <w:p>
      <w:pPr>
        <w:pStyle w:val="Heading3"/>
      </w:pPr>
      <w:r>
        <w:t xml:space="preserve">Section 1: Introduction &amp; Context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Orient readers, set expectations, establish scope</w:t>
      </w:r>
      <w:r>
        <w:br/>
      </w:r>
      <w:r>
        <w:rPr>
          <w:b/>
          <w:bCs/>
        </w:rPr>
        <w:t xml:space="preserve">Audience</w:t>
      </w:r>
      <w:r>
        <w:t xml:space="preserve">: All users (first point of entry)</w:t>
      </w:r>
      <w:r>
        <w:br/>
      </w:r>
      <w:r>
        <w:rPr>
          <w:b/>
          <w:bCs/>
        </w:rPr>
        <w:t xml:space="preserve">Key Decision</w:t>
      </w:r>
      <w:r>
        <w:t xml:space="preserve">: Start with WHY (value proposition) before WHAT or HOW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Addresses gap identified in current docs: lack of compelling narrative</w:t>
      </w:r>
      <w:r>
        <w:t xml:space="preserve"> </w:t>
      </w:r>
      <w:r>
        <w:t xml:space="preserve">- SME feedback:</w:t>
      </w:r>
      <w:r>
        <w:t xml:space="preserve"> </w:t>
      </w:r>
      <w:r>
        <w:t xml:space="preserve">“Build a story explaining why such integration need arises”</w:t>
      </w:r>
      <w:r>
        <w:t xml:space="preserve"> </w:t>
      </w:r>
      <w:r>
        <w:t xml:space="preserve">- Establishes foundational ID lifecycle concept early</w:t>
      </w:r>
    </w:p>
    <w:p>
      <w:r>
        <w:pict>
          <v:rect style="width:0;height:1.5pt" o:hralign="center" o:hrstd="t" o:hr="t"/>
        </w:pict>
      </w:r>
    </w:p>
    <w:bookmarkEnd w:id="16"/>
    <w:bookmarkStart w:id="17" w:name="section-2-integration-overview"/>
    <w:p>
      <w:pPr>
        <w:pStyle w:val="Heading3"/>
      </w:pPr>
      <w:r>
        <w:t xml:space="preserve">Section 2: Integration Overview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Define boundaries and system roles</w:t>
      </w:r>
      <w:r>
        <w:br/>
      </w:r>
      <w:r>
        <w:rPr>
          <w:b/>
          <w:bCs/>
        </w:rPr>
        <w:t xml:space="preserve">Audience</w:t>
      </w:r>
      <w:r>
        <w:t xml:space="preserve">: Decision-makers, architects, project managers</w:t>
      </w:r>
      <w:r>
        <w:br/>
      </w:r>
      <w:r>
        <w:rPr>
          <w:b/>
          <w:bCs/>
        </w:rPr>
        <w:t xml:space="preserve">Key Decision</w:t>
      </w:r>
      <w:r>
        <w:t xml:space="preserve">: Explicitly call out</w:t>
      </w:r>
      <w:r>
        <w:t xml:space="preserve"> </w:t>
      </w:r>
      <w:r>
        <w:t xml:space="preserve">“What’s NOT in Scope”</w:t>
      </w:r>
      <w:r>
        <w:t xml:space="preserve"> </w:t>
      </w:r>
      <w:r>
        <w:t xml:space="preserve">as a dedicated subsection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Prevents scope creep and misaligned expectations</w:t>
      </w:r>
      <w:r>
        <w:t xml:space="preserve"> </w:t>
      </w:r>
      <w:r>
        <w:t xml:space="preserve">- SME clarification:</w:t>
      </w:r>
      <w:r>
        <w:t xml:space="preserve"> </w:t>
      </w:r>
      <w:r>
        <w:t xml:space="preserve">“UIN not deactivated by default”</w:t>
      </w:r>
      <w:r>
        <w:t xml:space="preserve"> </w:t>
      </w:r>
      <w:r>
        <w:t xml:space="preserve">(out of scope)</w:t>
      </w:r>
      <w:r>
        <w:t xml:space="preserve"> </w:t>
      </w:r>
      <w:r>
        <w:t xml:space="preserve">- OpenCRVS learning: Clear separation of integration types (Record Search, Event Notification, Webhook)</w:t>
      </w:r>
    </w:p>
    <w:p>
      <w:r>
        <w:pict>
          <v:rect style="width:0;height:1.5pt" o:hralign="center" o:hrstd="t" o:hr="t"/>
        </w:pict>
      </w:r>
    </w:p>
    <w:bookmarkEnd w:id="17"/>
    <w:bookmarkStart w:id="18" w:name="section-3-core-integration-principles"/>
    <w:p>
      <w:pPr>
        <w:pStyle w:val="Heading3"/>
      </w:pPr>
      <w:r>
        <w:t xml:space="preserve">Section 3: Core Integration Principles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Establish trust model, design decisions, and constraints</w:t>
      </w:r>
      <w:r>
        <w:br/>
      </w:r>
      <w:r>
        <w:rPr>
          <w:b/>
          <w:bCs/>
        </w:rPr>
        <w:t xml:space="preserve">Audience</w:t>
      </w:r>
      <w:r>
        <w:t xml:space="preserve">: Architects, security teams, compliance officers</w:t>
      </w:r>
      <w:r>
        <w:br/>
      </w:r>
      <w:r>
        <w:rPr>
          <w:b/>
          <w:bCs/>
        </w:rPr>
        <w:t xml:space="preserve">Key Decision</w:t>
      </w:r>
      <w:r>
        <w:t xml:space="preserve">:</w:t>
      </w:r>
      <w:r>
        <w:t xml:space="preserve"> </w:t>
      </w:r>
      <w:r>
        <w:t xml:space="preserve">“CRVS as Source of Truth”</w:t>
      </w:r>
      <w:r>
        <w:t xml:space="preserve"> </w:t>
      </w:r>
      <w:r>
        <w:t xml:space="preserve">is a standalone, prominent principle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SME emphasis:</w:t>
      </w:r>
      <w:r>
        <w:t xml:space="preserve"> </w:t>
      </w:r>
      <w:r>
        <w:t xml:space="preserve">“Clearly noted on multiple locations… we do not do de-duplication”</w:t>
      </w:r>
      <w:r>
        <w:t xml:space="preserve"> </w:t>
      </w:r>
      <w:r>
        <w:t xml:space="preserve">- Foundational design decision that impacts all workflows</w:t>
      </w:r>
      <w:r>
        <w:t xml:space="preserve"> </w:t>
      </w:r>
      <w:r>
        <w:t xml:space="preserve">- Addresses gap: No clear explanation of why MOSIP trusts CRVS data</w:t>
      </w:r>
    </w:p>
    <w:p>
      <w:r>
        <w:pict>
          <v:rect style="width:0;height:1.5pt" o:hralign="center" o:hrstd="t" o:hr="t"/>
        </w:pict>
      </w:r>
    </w:p>
    <w:bookmarkEnd w:id="18"/>
    <w:bookmarkStart w:id="19" w:name="section-4-integration-patterns-workflows"/>
    <w:p>
      <w:pPr>
        <w:pStyle w:val="Heading3"/>
      </w:pPr>
      <w:r>
        <w:t xml:space="preserve">Section 4: Integration Patterns &amp; Workflows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Document end-to-end flows with visual aids</w:t>
      </w:r>
      <w:r>
        <w:br/>
      </w:r>
      <w:r>
        <w:rPr>
          <w:b/>
          <w:bCs/>
        </w:rPr>
        <w:t xml:space="preserve">Audience</w:t>
      </w:r>
      <w:r>
        <w:t xml:space="preserve">: Integration engineers, developers</w:t>
      </w:r>
      <w:r>
        <w:br/>
      </w:r>
      <w:r>
        <w:rPr>
          <w:b/>
          <w:bCs/>
        </w:rPr>
        <w:t xml:space="preserve">Key Decision</w:t>
      </w:r>
      <w:r>
        <w:t xml:space="preserve">: Organize by</w:t>
      </w:r>
      <w:r>
        <w:t xml:space="preserve"> </w:t>
      </w:r>
      <w:r>
        <w:rPr>
          <w:b/>
          <w:bCs/>
        </w:rPr>
        <w:t xml:space="preserve">use case</w:t>
      </w:r>
      <w:r>
        <w:t xml:space="preserve"> </w:t>
      </w:r>
      <w:r>
        <w:t xml:space="preserve">(birth/death/update), not by API or component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User-centered approach: Readers care about</w:t>
      </w:r>
      <w:r>
        <w:t xml:space="preserve"> </w:t>
      </w:r>
      <w:r>
        <w:t xml:space="preserve">“How do I register a birth?”</w:t>
      </w:r>
      <w:r>
        <w:t xml:space="preserve"> </w:t>
      </w:r>
      <w:r>
        <w:t xml:space="preserve">not</w:t>
      </w:r>
      <w:r>
        <w:t xml:space="preserve"> </w:t>
      </w:r>
      <w:r>
        <w:t xml:space="preserve">“What does Packet Manager do?”</w:t>
      </w:r>
      <w:r>
        <w:t xml:space="preserve"> </w:t>
      </w:r>
      <w:r>
        <w:t xml:space="preserve">- Each use case is self-contained with sequence diagrams, data requirements, error handling</w:t>
      </w:r>
      <w:r>
        <w:t xml:space="preserve"> </w:t>
      </w:r>
      <w:r>
        <w:t xml:space="preserve">- SME clarification: Added rare scenarios (deactivation, deceased flag reversal) as subsection</w:t>
      </w:r>
      <w:r>
        <w:t xml:space="preserve"> </w:t>
      </w:r>
      <w:r>
        <w:t xml:space="preserve">- OpenCRVS learning: Separate integration patterns for different client types</w:t>
      </w:r>
    </w:p>
    <w:p>
      <w:pPr>
        <w:pStyle w:val="BodyText"/>
      </w:pPr>
      <w:r>
        <w:rPr>
          <w:b/>
          <w:bCs/>
        </w:rPr>
        <w:t xml:space="preserve">Sub-Pattern</w:t>
      </w:r>
      <w:r>
        <w:t xml:space="preserve">: Alternative flows (e.g., registrar authentication) documented as variants, not separate top-level sections</w:t>
      </w:r>
    </w:p>
    <w:p>
      <w:r>
        <w:pict>
          <v:rect style="width:0;height:1.5pt" o:hralign="center" o:hrstd="t" o:hr="t"/>
        </w:pict>
      </w:r>
    </w:p>
    <w:bookmarkEnd w:id="19"/>
    <w:bookmarkStart w:id="20" w:name="section-5-technical-architecture"/>
    <w:p>
      <w:pPr>
        <w:pStyle w:val="Heading3"/>
      </w:pPr>
      <w:r>
        <w:t xml:space="preserve">Section 5: Technical Architecture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System-level view for architects and DevOps</w:t>
      </w:r>
      <w:r>
        <w:br/>
      </w:r>
      <w:r>
        <w:rPr>
          <w:b/>
          <w:bCs/>
        </w:rPr>
        <w:t xml:space="preserve">Audience</w:t>
      </w:r>
      <w:r>
        <w:t xml:space="preserve">: Solution architects, infrastructure teams</w:t>
      </w:r>
      <w:r>
        <w:br/>
      </w:r>
      <w:r>
        <w:rPr>
          <w:b/>
          <w:bCs/>
        </w:rPr>
        <w:t xml:space="preserve">Key Decision</w:t>
      </w:r>
      <w:r>
        <w:t xml:space="preserve">: Architecture comes AFTER workflows, not before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Progressive disclosure: Readers understand</w:t>
      </w:r>
      <w:r>
        <w:t xml:space="preserve"> </w:t>
      </w:r>
      <w:r>
        <w:t xml:space="preserve">“what”</w:t>
      </w:r>
      <w:r>
        <w:t xml:space="preserve"> </w:t>
      </w:r>
      <w:r>
        <w:t xml:space="preserve">before</w:t>
      </w:r>
      <w:r>
        <w:t xml:space="preserve"> </w:t>
      </w:r>
      <w:r>
        <w:t xml:space="preserve">“how it’s built”</w:t>
      </w:r>
      <w:r>
        <w:t xml:space="preserve"> </w:t>
      </w:r>
      <w:r>
        <w:t xml:space="preserve">- Addresses gap: Missing component diagrams and data flow visualizations</w:t>
      </w:r>
      <w:r>
        <w:t xml:space="preserve"> </w:t>
      </w:r>
      <w:r>
        <w:t xml:space="preserve">- Enables readers to understand system behavior before diving into deployment</w:t>
      </w:r>
    </w:p>
    <w:p>
      <w:r>
        <w:pict>
          <v:rect style="width:0;height:1.5pt" o:hralign="center" o:hrstd="t" o:hr="t"/>
        </w:pict>
      </w:r>
    </w:p>
    <w:bookmarkEnd w:id="20"/>
    <w:bookmarkStart w:id="21" w:name="section-6-api-reference-data-models"/>
    <w:p>
      <w:pPr>
        <w:pStyle w:val="Heading3"/>
      </w:pPr>
      <w:r>
        <w:t xml:space="preserve">Section 6: API Reference &amp; Data Models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Developer-focused technical specification</w:t>
      </w:r>
      <w:r>
        <w:br/>
      </w:r>
      <w:r>
        <w:rPr>
          <w:b/>
          <w:bCs/>
        </w:rPr>
        <w:t xml:space="preserve">Audience</w:t>
      </w:r>
      <w:r>
        <w:t xml:space="preserve">: API consumers, integration developers</w:t>
      </w:r>
      <w:r>
        <w:br/>
      </w:r>
      <w:r>
        <w:rPr>
          <w:b/>
          <w:bCs/>
        </w:rPr>
        <w:t xml:space="preserve">Key Decision</w:t>
      </w:r>
      <w:r>
        <w:t xml:space="preserve">: Single API (</w:t>
      </w:r>
      <w:r>
        <w:rPr>
          <w:rStyle w:val="VerbatimChar"/>
        </w:rPr>
        <w:t xml:space="preserve">create packet</w:t>
      </w:r>
      <w:r>
        <w:t xml:space="preserve">) with workflow determined by</w:t>
      </w:r>
      <w:r>
        <w:t xml:space="preserve"> </w:t>
      </w:r>
      <w:r>
        <w:rPr>
          <w:rStyle w:val="VerbatimChar"/>
        </w:rPr>
        <w:t xml:space="preserve">process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fields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SME clarification:</w:t>
      </w:r>
      <w:r>
        <w:t xml:space="preserve"> </w:t>
      </w:r>
      <w:r>
        <w:t xml:space="preserve">“Same API for all flows; workflow determined by process value”</w:t>
      </w:r>
      <w:r>
        <w:t xml:space="preserve"> </w:t>
      </w:r>
      <w:r>
        <w:t xml:space="preserve">- Addresses gap: No clear API documentation or schema definitions</w:t>
      </w:r>
      <w:r>
        <w:t xml:space="preserve"> </w:t>
      </w:r>
      <w:r>
        <w:t xml:space="preserve">- OpenCRVS learning: FHIR-based schemas with clear field mappings</w:t>
      </w:r>
    </w:p>
    <w:p>
      <w:pPr>
        <w:pStyle w:val="BodyText"/>
      </w:pPr>
      <w:r>
        <w:rPr>
          <w:b/>
          <w:bCs/>
        </w:rPr>
        <w:t xml:space="preserve">Sub-Pattern</w:t>
      </w:r>
      <w:r>
        <w:t xml:space="preserve">: Each packet type (birth/death/update) has dedicated schema subsection</w:t>
      </w:r>
    </w:p>
    <w:p>
      <w:r>
        <w:pict>
          <v:rect style="width:0;height:1.5pt" o:hralign="center" o:hrstd="t" o:hr="t"/>
        </w:pict>
      </w:r>
    </w:p>
    <w:bookmarkEnd w:id="21"/>
    <w:bookmarkStart w:id="22" w:name="section-7-security-authentication"/>
    <w:p>
      <w:pPr>
        <w:pStyle w:val="Heading3"/>
      </w:pPr>
      <w:r>
        <w:t xml:space="preserve">Section 7: Security &amp; Authentication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Authentication setup and security best practices</w:t>
      </w:r>
      <w:r>
        <w:br/>
      </w:r>
      <w:r>
        <w:rPr>
          <w:b/>
          <w:bCs/>
        </w:rPr>
        <w:t xml:space="preserve">Audience</w:t>
      </w:r>
      <w:r>
        <w:t xml:space="preserve">: Security engineers, system administrators</w:t>
      </w:r>
      <w:r>
        <w:br/>
      </w:r>
      <w:r>
        <w:rPr>
          <w:b/>
          <w:bCs/>
        </w:rPr>
        <w:t xml:space="preserve">Key Decision</w:t>
      </w:r>
      <w:r>
        <w:t xml:space="preserve">: OAuth2 client management is a top-level concern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OpenCRVS learning: Self-service OAuth client creation is critical missing component</w:t>
      </w:r>
      <w:r>
        <w:t xml:space="preserve"> </w:t>
      </w:r>
      <w:r>
        <w:t xml:space="preserve">- Addresses gap: No authentication flow documentation</w:t>
      </w:r>
      <w:r>
        <w:t xml:space="preserve"> </w:t>
      </w:r>
      <w:r>
        <w:t xml:space="preserve">- SME requirement: eSignet authentication for parent/informant</w:t>
      </w:r>
    </w:p>
    <w:p>
      <w:pPr>
        <w:pStyle w:val="BodyText"/>
      </w:pPr>
      <w:r>
        <w:rPr>
          <w:b/>
          <w:bCs/>
        </w:rPr>
        <w:t xml:space="preserve">Sub-Pattern</w:t>
      </w:r>
      <w:r>
        <w:t xml:space="preserve">: Separate eSignet authentication (user-level) from OAuth2 (service-to-service)</w:t>
      </w:r>
    </w:p>
    <w:p>
      <w:r>
        <w:pict>
          <v:rect style="width:0;height:1.5pt" o:hralign="center" o:hrstd="t" o:hr="t"/>
        </w:pict>
      </w:r>
    </w:p>
    <w:bookmarkEnd w:id="22"/>
    <w:bookmarkStart w:id="23" w:name="section-8-notifications-event-handling"/>
    <w:p>
      <w:pPr>
        <w:pStyle w:val="Heading3"/>
      </w:pPr>
      <w:r>
        <w:t xml:space="preserve">Section 8: Notifications &amp; Event Handling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Document notification architecture and optional WebSub</w:t>
      </w:r>
      <w:r>
        <w:br/>
      </w:r>
      <w:r>
        <w:rPr>
          <w:b/>
          <w:bCs/>
        </w:rPr>
        <w:t xml:space="preserve">Audience</w:t>
      </w:r>
      <w:r>
        <w:t xml:space="preserve">: Integration engineers, event-driven architecture specialists</w:t>
      </w:r>
      <w:r>
        <w:br/>
      </w:r>
      <w:r>
        <w:rPr>
          <w:b/>
          <w:bCs/>
        </w:rPr>
        <w:t xml:space="preserve">Key Decision</w:t>
      </w:r>
      <w:r>
        <w:t xml:space="preserve">: Default resident notification vs optional CRVS notification are clearly separated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SME clarification:</w:t>
      </w:r>
      <w:r>
        <w:t xml:space="preserve"> </w:t>
      </w:r>
      <w:r>
        <w:t xml:space="preserve">“Notification back to CRVS is NOT default; separate feature”</w:t>
      </w:r>
      <w:r>
        <w:t xml:space="preserve"> </w:t>
      </w:r>
      <w:r>
        <w:t xml:space="preserve">- Addresses gap: Confusion about who receives notifications</w:t>
      </w:r>
      <w:r>
        <w:t xml:space="preserve"> </w:t>
      </w:r>
      <w:r>
        <w:t xml:space="preserve">- OpenCRVS learning: Webhook subscription model for downstream systems</w:t>
      </w:r>
    </w:p>
    <w:p>
      <w:r>
        <w:pict>
          <v:rect style="width:0;height:1.5pt" o:hralign="center" o:hrstd="t" o:hr="t"/>
        </w:pict>
      </w:r>
    </w:p>
    <w:bookmarkEnd w:id="23"/>
    <w:bookmarkStart w:id="24" w:name="section-9-error-handling-reconciliation"/>
    <w:p>
      <w:pPr>
        <w:pStyle w:val="Heading3"/>
      </w:pPr>
      <w:r>
        <w:t xml:space="preserve">Section 9: Error Handling &amp; Reconciliation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Systematic error management and recovery</w:t>
      </w:r>
      <w:r>
        <w:br/>
      </w:r>
      <w:r>
        <w:rPr>
          <w:b/>
          <w:bCs/>
        </w:rPr>
        <w:t xml:space="preserve">Audience</w:t>
      </w:r>
      <w:r>
        <w:t xml:space="preserve">: Developers, support teams</w:t>
      </w:r>
      <w:r>
        <w:br/>
      </w:r>
      <w:r>
        <w:rPr>
          <w:b/>
          <w:bCs/>
        </w:rPr>
        <w:t xml:space="preserve">Key Decision</w:t>
      </w:r>
      <w:r>
        <w:t xml:space="preserve">: Explain WHY CRVS doesn’t receive failure notifications (resident-centric model)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SME rationale:</w:t>
      </w:r>
      <w:r>
        <w:t xml:space="preserve"> </w:t>
      </w:r>
      <w:r>
        <w:t xml:space="preserve">“CRVS cannot take action on failure; resident must resubmit”</w:t>
      </w:r>
      <w:r>
        <w:t xml:space="preserve"> </w:t>
      </w:r>
      <w:r>
        <w:t xml:space="preserve">- Addresses gap: No error handling strategy documented</w:t>
      </w:r>
      <w:r>
        <w:t xml:space="preserve"> </w:t>
      </w:r>
      <w:r>
        <w:t xml:space="preserve">- Idempotency strategy (externalId, packetId) explicitly documented</w:t>
      </w:r>
    </w:p>
    <w:p>
      <w:r>
        <w:pict>
          <v:rect style="width:0;height:1.5pt" o:hralign="center" o:hrstd="t" o:hr="t"/>
        </w:pict>
      </w:r>
    </w:p>
    <w:bookmarkEnd w:id="24"/>
    <w:bookmarkStart w:id="25" w:name="X9fda241982867864840d2c5841a6481a4d4f1a2"/>
    <w:p>
      <w:pPr>
        <w:pStyle w:val="Heading3"/>
      </w:pPr>
      <w:r>
        <w:t xml:space="preserve">Section 10: Policy Configuration &amp; Customization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Country-specific policy decisions</w:t>
      </w:r>
      <w:r>
        <w:br/>
      </w:r>
      <w:r>
        <w:rPr>
          <w:b/>
          <w:bCs/>
        </w:rPr>
        <w:t xml:space="preserve">Audience</w:t>
      </w:r>
      <w:r>
        <w:t xml:space="preserve">: Policy makers, country customization teams</w:t>
      </w:r>
      <w:r>
        <w:br/>
      </w:r>
      <w:r>
        <w:rPr>
          <w:b/>
          <w:bCs/>
        </w:rPr>
        <w:t xml:space="preserve">Key Decision</w:t>
      </w:r>
      <w:r>
        <w:t xml:space="preserve">: Policy configuration is a first-class section, not buried in technical docs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SME emphasis:</w:t>
      </w:r>
      <w:r>
        <w:t xml:space="preserve"> </w:t>
      </w:r>
      <w:r>
        <w:t xml:space="preserve">“Age demarcation driven by country policy”</w:t>
      </w:r>
      <w:r>
        <w:t xml:space="preserve"> </w:t>
      </w:r>
      <w:r>
        <w:t xml:space="preserve">- Addresses gap: No configuration management guidance</w:t>
      </w:r>
      <w:r>
        <w:t xml:space="preserve"> </w:t>
      </w:r>
      <w:r>
        <w:t xml:space="preserve">- Separates policy decisions from technical implementation</w:t>
      </w:r>
    </w:p>
    <w:p>
      <w:pPr>
        <w:pStyle w:val="BodyText"/>
      </w:pPr>
      <w:r>
        <w:rPr>
          <w:b/>
          <w:bCs/>
        </w:rPr>
        <w:t xml:space="preserve">Sub-Pattern</w:t>
      </w:r>
      <w:r>
        <w:t xml:space="preserve">: Risk assessment for why adult demographic updates NOT recommended</w:t>
      </w:r>
    </w:p>
    <w:p>
      <w:r>
        <w:pict>
          <v:rect style="width:0;height:1.5pt" o:hralign="center" o:hrstd="t" o:hr="t"/>
        </w:pict>
      </w:r>
    </w:p>
    <w:bookmarkEnd w:id="25"/>
    <w:bookmarkStart w:id="26" w:name="section-11-operational-considerations"/>
    <w:p>
      <w:pPr>
        <w:pStyle w:val="Heading3"/>
      </w:pPr>
      <w:r>
        <w:t xml:space="preserve">Section 11: Operational Considerations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Deployment, monitoring, and maintenance</w:t>
      </w:r>
      <w:r>
        <w:br/>
      </w:r>
      <w:r>
        <w:rPr>
          <w:b/>
          <w:bCs/>
        </w:rPr>
        <w:t xml:space="preserve">Audience</w:t>
      </w:r>
      <w:r>
        <w:t xml:space="preserve">: DevOps, system administrators, support teams</w:t>
      </w:r>
      <w:r>
        <w:br/>
      </w:r>
      <w:r>
        <w:rPr>
          <w:b/>
          <w:bCs/>
        </w:rPr>
        <w:t xml:space="preserve">Key Decision</w:t>
      </w:r>
      <w:r>
        <w:t xml:space="preserve">: Prerequisites upfront, monitoring detailed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Addresses gap: No infrastructure or deployment guidance</w:t>
      </w:r>
      <w:r>
        <w:t xml:space="preserve"> </w:t>
      </w:r>
      <w:r>
        <w:t xml:space="preserve">- OpenCRVS learning: Monitoring and health checks documented</w:t>
      </w:r>
    </w:p>
    <w:p>
      <w:r>
        <w:pict>
          <v:rect style="width:0;height:1.5pt" o:hralign="center" o:hrstd="t" o:hr="t"/>
        </w:pict>
      </w:r>
    </w:p>
    <w:bookmarkEnd w:id="26"/>
    <w:bookmarkStart w:id="27" w:name="section-12-testing-validation"/>
    <w:p>
      <w:pPr>
        <w:pStyle w:val="Heading3"/>
      </w:pPr>
      <w:r>
        <w:t xml:space="preserve">Section 12: Testing &amp; Validation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Comprehensive testing strategy</w:t>
      </w:r>
      <w:r>
        <w:br/>
      </w:r>
      <w:r>
        <w:rPr>
          <w:b/>
          <w:bCs/>
        </w:rPr>
        <w:t xml:space="preserve">Audience</w:t>
      </w:r>
      <w:r>
        <w:t xml:space="preserve">: QA engineers, integration testers</w:t>
      </w:r>
      <w:r>
        <w:br/>
      </w:r>
      <w:r>
        <w:rPr>
          <w:b/>
          <w:bCs/>
        </w:rPr>
        <w:t xml:space="preserve">Key Decision</w:t>
      </w:r>
      <w:r>
        <w:t xml:space="preserve">: Test scenarios organized by use case, include error cases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Addresses gap: No testing guidance provided</w:t>
      </w:r>
      <w:r>
        <w:t xml:space="preserve"> </w:t>
      </w:r>
      <w:r>
        <w:t xml:space="preserve">- Each workflow has happy path + error scenarios</w:t>
      </w:r>
    </w:p>
    <w:p>
      <w:r>
        <w:pict>
          <v:rect style="width:0;height:1.5pt" o:hralign="center" o:hrstd="t" o:hr="t"/>
        </w:pict>
      </w:r>
    </w:p>
    <w:bookmarkEnd w:id="27"/>
    <w:bookmarkStart w:id="28" w:name="Xbfe6b126307703174cafc7012d992e2cb0f3426"/>
    <w:p>
      <w:pPr>
        <w:pStyle w:val="Heading3"/>
      </w:pPr>
      <w:r>
        <w:t xml:space="preserve">Section 13: Code Examples &amp; Reference Implementations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Practical implementation examples</w:t>
      </w:r>
      <w:r>
        <w:br/>
      </w:r>
      <w:r>
        <w:rPr>
          <w:b/>
          <w:bCs/>
        </w:rPr>
        <w:t xml:space="preserve">Audience</w:t>
      </w:r>
      <w:r>
        <w:t xml:space="preserve">: Developers</w:t>
      </w:r>
      <w:r>
        <w:br/>
      </w:r>
      <w:r>
        <w:rPr>
          <w:b/>
          <w:bCs/>
        </w:rPr>
        <w:t xml:space="preserve">Key Decision</w:t>
      </w:r>
      <w:r>
        <w:t xml:space="preserve">: Examples in multiple languages (Java, Python, Node.js)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Addresses gap: No code examples in current docs</w:t>
      </w:r>
      <w:r>
        <w:t xml:space="preserve"> </w:t>
      </w:r>
      <w:r>
        <w:t xml:space="preserve">- OpenCRVS learning: Multiple example formats (curl, SDK)</w:t>
      </w:r>
    </w:p>
    <w:p>
      <w:r>
        <w:pict>
          <v:rect style="width:0;height:1.5pt" o:hralign="center" o:hrstd="t" o:hr="t"/>
        </w:pict>
      </w:r>
    </w:p>
    <w:bookmarkEnd w:id="28"/>
    <w:bookmarkStart w:id="29" w:name="section-14-troubleshooting-guide"/>
    <w:p>
      <w:pPr>
        <w:pStyle w:val="Heading3"/>
      </w:pPr>
      <w:r>
        <w:t xml:space="preserve">Section 14: Troubleshooting Guide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Self-service problem resolution</w:t>
      </w:r>
      <w:r>
        <w:br/>
      </w:r>
      <w:r>
        <w:rPr>
          <w:b/>
          <w:bCs/>
        </w:rPr>
        <w:t xml:space="preserve">Audience</w:t>
      </w:r>
      <w:r>
        <w:t xml:space="preserve">: Support teams, developers</w:t>
      </w:r>
      <w:r>
        <w:br/>
      </w:r>
      <w:r>
        <w:rPr>
          <w:b/>
          <w:bCs/>
        </w:rPr>
        <w:t xml:space="preserve">Key Decision</w:t>
      </w:r>
      <w:r>
        <w:t xml:space="preserve">: Common issues documented with solutions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Addresses gap: No troubleshooting guidance</w:t>
      </w:r>
      <w:r>
        <w:t xml:space="preserve"> </w:t>
      </w:r>
      <w:r>
        <w:t xml:space="preserve">- Reduces support burden</w:t>
      </w:r>
    </w:p>
    <w:p>
      <w:r>
        <w:pict>
          <v:rect style="width:0;height:1.5pt" o:hralign="center" o:hrstd="t" o:hr="t"/>
        </w:pict>
      </w:r>
    </w:p>
    <w:bookmarkEnd w:id="29"/>
    <w:bookmarkStart w:id="30" w:name="section-15-appendices-references"/>
    <w:p>
      <w:pPr>
        <w:pStyle w:val="Heading3"/>
      </w:pPr>
      <w:r>
        <w:t xml:space="preserve">Section 15: Appendices &amp; References</w:t>
      </w:r>
    </w:p>
    <w:p>
      <w:pPr>
        <w:pStyle w:val="FirstParagraph"/>
      </w:pPr>
      <w:r>
        <w:rPr>
          <w:b/>
          <w:bCs/>
        </w:rPr>
        <w:t xml:space="preserve">Purpose</w:t>
      </w:r>
      <w:r>
        <w:t xml:space="preserve">: Supporting information and external resources</w:t>
      </w:r>
      <w:r>
        <w:br/>
      </w:r>
      <w:r>
        <w:rPr>
          <w:b/>
          <w:bCs/>
        </w:rPr>
        <w:t xml:space="preserve">Audience</w:t>
      </w:r>
      <w:r>
        <w:t xml:space="preserve">: All users</w:t>
      </w:r>
      <w:r>
        <w:br/>
      </w:r>
      <w:r>
        <w:rPr>
          <w:b/>
          <w:bCs/>
        </w:rPr>
        <w:t xml:space="preserve">Key Decision</w:t>
      </w:r>
      <w:r>
        <w:t xml:space="preserve">: Glossary centralized, not scattered</w:t>
      </w:r>
    </w:p>
    <w:p>
      <w:pPr>
        <w:pStyle w:val="BodyText"/>
      </w:pPr>
      <w:r>
        <w:rPr>
          <w:b/>
          <w:bCs/>
        </w:rPr>
        <w:t xml:space="preserve">Justification</w:t>
      </w:r>
      <w:r>
        <w:t xml:space="preserve">:</w:t>
      </w:r>
      <w:r>
        <w:t xml:space="preserve"> </w:t>
      </w:r>
      <w:r>
        <w:t xml:space="preserve">- Single source of truth for terminology</w:t>
      </w:r>
      <w:r>
        <w:t xml:space="preserve"> </w:t>
      </w:r>
      <w:r>
        <w:t xml:space="preserve">- External references (OpenCRVS, ID4D, FHIR) documented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cross-cutting-concerns"/>
    <w:p>
      <w:pPr>
        <w:pStyle w:val="Heading2"/>
      </w:pPr>
      <w:r>
        <w:t xml:space="preserve">Cross-Cutting Concerns</w:t>
      </w:r>
    </w:p>
    <w:bookmarkStart w:id="32" w:name="visual-elements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Visual Elements</w:t>
      </w:r>
    </w:p>
    <w:p>
      <w:pPr>
        <w:pStyle w:val="FirstParagraph"/>
      </w:pPr>
      <w:r>
        <w:t xml:space="preserve">Each major workflow section (4.2, 4.3, 4.4) includes:</w:t>
      </w:r>
      <w:r>
        <w:t xml:space="preserve"> </w:t>
      </w:r>
      <w:r>
        <w:t xml:space="preserve">- High-level conceptual diagram</w:t>
      </w:r>
      <w:r>
        <w:t xml:space="preserve"> </w:t>
      </w:r>
      <w:r>
        <w:t xml:space="preserve">- Detailed sequence diagram</w:t>
      </w:r>
      <w:r>
        <w:t xml:space="preserve"> </w:t>
      </w:r>
      <w:r>
        <w:t xml:space="preserve">- Data flow visualization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 Visual learning for complex interactions</w:t>
      </w:r>
    </w:p>
    <w:p>
      <w:r>
        <w:pict>
          <v:rect style="width:0;height:1.5pt" o:hralign="center" o:hrstd="t" o:hr="t"/>
        </w:pict>
      </w:r>
    </w:p>
    <w:bookmarkEnd w:id="32"/>
    <w:bookmarkStart w:id="34" w:name="consistency-patterns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Consistency Patterns</w:t>
      </w:r>
    </w:p>
    <w:bookmarkStart w:id="33" w:name="X32a03aa41e1950a718de73aaf761aa341f3113f"/>
    <w:p>
      <w:pPr>
        <w:pStyle w:val="Heading4"/>
      </w:pPr>
      <w:r>
        <w:t xml:space="preserve">Standard Subsection Template for Workflows:</w:t>
      </w:r>
    </w:p>
    <w:p>
      <w:pPr>
        <w:pStyle w:val="SourceCode"/>
      </w:pPr>
      <w:r>
        <w:rPr>
          <w:rStyle w:val="VerbatimChar"/>
        </w:rPr>
        <w:t xml:space="preserve">X.Y Use Case Name</w:t>
      </w:r>
      <w:r>
        <w:br/>
      </w:r>
      <w:r>
        <w:rPr>
          <w:rStyle w:val="VerbatimChar"/>
        </w:rPr>
        <w:t xml:space="preserve">├─ X.Y.1 Standard Flow (Step-by-step)</w:t>
      </w:r>
      <w:r>
        <w:br/>
      </w:r>
      <w:r>
        <w:rPr>
          <w:rStyle w:val="VerbatimChar"/>
        </w:rPr>
        <w:t xml:space="preserve">├─ X.Y.2 Data Requirements &amp; Field Mappings</w:t>
      </w:r>
      <w:r>
        <w:br/>
      </w:r>
      <w:r>
        <w:rPr>
          <w:rStyle w:val="VerbatimChar"/>
        </w:rPr>
        <w:t xml:space="preserve">├─ X.Y.3 Sequence Diagram</w:t>
      </w:r>
      <w:r>
        <w:br/>
      </w:r>
      <w:r>
        <w:rPr>
          <w:rStyle w:val="VerbatimChar"/>
        </w:rPr>
        <w:t xml:space="preserve">├─ X.Y.4 Error Scenarios &amp; Handling</w:t>
      </w:r>
      <w:r>
        <w:br/>
      </w:r>
      <w:r>
        <w:rPr>
          <w:rStyle w:val="VerbatimChar"/>
        </w:rPr>
        <w:t xml:space="preserve">└─ X.Y.5 Example API Request/Response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 Predictable structure reduces cognitive load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navigation-aids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Navigation Aids</w:t>
      </w:r>
    </w:p>
    <w:bookmarkStart w:id="35" w:name="within-each-major-section"/>
    <w:p>
      <w:pPr>
        <w:pStyle w:val="Heading4"/>
      </w:pPr>
      <w:r>
        <w:t xml:space="preserve">Within Each Major Section: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“Who should read this”</w:t>
      </w:r>
      <w:r>
        <w:t xml:space="preserve"> </w:t>
      </w:r>
      <w:r>
        <w:t xml:space="preserve">callout at top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“Prerequisites”</w:t>
      </w:r>
      <w:r>
        <w:t xml:space="preserve"> </w:t>
      </w:r>
      <w:r>
        <w:t xml:space="preserve">box listing required prior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“Related sections”</w:t>
      </w:r>
      <w:r>
        <w:t xml:space="preserve"> </w:t>
      </w:r>
      <w:r>
        <w:t xml:space="preserve">links at bottom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“Quick reference”</w:t>
      </w:r>
      <w:r>
        <w:t xml:space="preserve"> </w:t>
      </w:r>
      <w:r>
        <w:t xml:space="preserve">summary box for key takeaways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 Helps readers assess relevance and find related content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ntent-reuse-strategy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Content Reuse Strategy</w:t>
      </w:r>
    </w:p>
    <w:bookmarkStart w:id="37" w:name="centralized-elements"/>
    <w:p>
      <w:pPr>
        <w:pStyle w:val="Heading4"/>
      </w:pPr>
      <w:r>
        <w:t xml:space="preserve">Centralized Elements: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 flow</w:t>
      </w:r>
      <w:r>
        <w:t xml:space="preserve">: Documented once in Section 7, referenced in workflows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Error codes</w:t>
      </w:r>
      <w:r>
        <w:t xml:space="preserve">: Defined once in Section 9, linked from API reference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Field mappings</w:t>
      </w:r>
      <w:r>
        <w:t xml:space="preserve">: Master table in Section 6, excerpts in workflow sections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 Single source of truth, easier maintenance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5" w:name="user-pathways-reader-journeys"/>
    <w:p>
      <w:pPr>
        <w:pStyle w:val="Heading2"/>
      </w:pPr>
      <w:r>
        <w:t xml:space="preserve">User Pathways (Reader Journeys)</w:t>
      </w:r>
    </w:p>
    <w:bookmarkStart w:id="40" w:name="pathway-1-executivedecision-maker"/>
    <w:p>
      <w:pPr>
        <w:pStyle w:val="Heading3"/>
      </w:pPr>
      <w:r>
        <w:t xml:space="preserve">Pathway 1: Executive/Decision-Maker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Understand business value and scope</w:t>
      </w:r>
      <w:r>
        <w:br/>
      </w:r>
      <w:r>
        <w:rPr>
          <w:b/>
          <w:bCs/>
        </w:rPr>
        <w:t xml:space="preserve">Route</w:t>
      </w:r>
      <w:r>
        <w:t xml:space="preserve">: 1.2 → 2.2 → 2.3 → 3.1 → 10.1 (skip technical details)</w:t>
      </w:r>
    </w:p>
    <w:bookmarkEnd w:id="40"/>
    <w:bookmarkStart w:id="41" w:name="pathway-2-solution-architect"/>
    <w:p>
      <w:pPr>
        <w:pStyle w:val="Heading3"/>
      </w:pPr>
      <w:r>
        <w:t xml:space="preserve">Pathway 2: Solution Architect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Design integration architecture</w:t>
      </w:r>
      <w:r>
        <w:br/>
      </w:r>
      <w:r>
        <w:rPr>
          <w:b/>
          <w:bCs/>
        </w:rPr>
        <w:t xml:space="preserve">Route</w:t>
      </w:r>
      <w:r>
        <w:t xml:space="preserve">: 1 → 2 → 3 → 4 (conceptual) → 5 → 7 → 8 → 10</w:t>
      </w:r>
    </w:p>
    <w:bookmarkEnd w:id="41"/>
    <w:bookmarkStart w:id="42" w:name="pathway-3-developer"/>
    <w:p>
      <w:pPr>
        <w:pStyle w:val="Heading3"/>
      </w:pPr>
      <w:r>
        <w:t xml:space="preserve">Pathway 3: Developer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Implement API integration</w:t>
      </w:r>
      <w:r>
        <w:br/>
      </w:r>
      <w:r>
        <w:rPr>
          <w:b/>
          <w:bCs/>
        </w:rPr>
        <w:t xml:space="preserve">Route</w:t>
      </w:r>
      <w:r>
        <w:t xml:space="preserve">: 2.3 → 4 (workflows) → 6 (APIs) → 7 (auth) → 9 (errors) → 13 (examples)</w:t>
      </w:r>
    </w:p>
    <w:bookmarkEnd w:id="42"/>
    <w:bookmarkStart w:id="43" w:name="pathway-4-qatester"/>
    <w:p>
      <w:pPr>
        <w:pStyle w:val="Heading3"/>
      </w:pPr>
      <w:r>
        <w:t xml:space="preserve">Pathway 4: QA/Tester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Validate integration</w:t>
      </w:r>
      <w:r>
        <w:br/>
      </w:r>
      <w:r>
        <w:rPr>
          <w:b/>
          <w:bCs/>
        </w:rPr>
        <w:t xml:space="preserve">Route</w:t>
      </w:r>
      <w:r>
        <w:t xml:space="preserve">: 2.3 → 4 (workflows) → 12 (testing) → 14 (troubleshooting)</w:t>
      </w:r>
    </w:p>
    <w:bookmarkEnd w:id="43"/>
    <w:bookmarkStart w:id="44" w:name="pathway-5-devopsadministrator"/>
    <w:p>
      <w:pPr>
        <w:pStyle w:val="Heading3"/>
      </w:pPr>
      <w:r>
        <w:t xml:space="preserve">Pathway 5: DevOps/Administrator</w:t>
      </w:r>
    </w:p>
    <w:p>
      <w:pPr>
        <w:pStyle w:val="FirstParagraph"/>
      </w:pPr>
      <w:r>
        <w:rPr>
          <w:b/>
          <w:bCs/>
        </w:rPr>
        <w:t xml:space="preserve">Goal</w:t>
      </w:r>
      <w:r>
        <w:t xml:space="preserve">: Deploy and monitor</w:t>
      </w:r>
      <w:r>
        <w:br/>
      </w:r>
      <w:r>
        <w:rPr>
          <w:b/>
          <w:bCs/>
        </w:rPr>
        <w:t xml:space="preserve">Route</w:t>
      </w:r>
      <w:r>
        <w:t xml:space="preserve">: 11 (operations) → 7.1 (OAuth setup) → 11.3 (monitoring) → 14 (troubleshooting)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eferredout-of-scope-elements"/>
    <w:p>
      <w:pPr>
        <w:pStyle w:val="Heading2"/>
      </w:pPr>
      <w:r>
        <w:t xml:space="preserve">Deferred/Out-of-Scope Elements</w:t>
      </w:r>
    </w:p>
    <w:p>
      <w:pPr>
        <w:pStyle w:val="FirstParagraph"/>
      </w:pPr>
      <w:r>
        <w:t xml:space="preserve">Based on SME inputs and gap analysis, the following are</w:t>
      </w:r>
      <w:r>
        <w:t xml:space="preserve"> </w:t>
      </w:r>
      <w:r>
        <w:rPr>
          <w:b/>
          <w:bCs/>
        </w:rPr>
        <w:t xml:space="preserve">explicitly excluded</w:t>
      </w:r>
      <w:r>
        <w:t xml:space="preserve"> </w:t>
      </w:r>
      <w:r>
        <w:t xml:space="preserve">from this guide: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Offline Integration</w:t>
      </w:r>
      <w:r>
        <w:t xml:space="preserve">:</w:t>
      </w:r>
      <w:r>
        <w:t xml:space="preserve"> </w:t>
      </w:r>
      <w:r>
        <w:t xml:space="preserve">“No support for offline; remove from documentation”</w:t>
      </w:r>
      <w:r>
        <w:t xml:space="preserve"> </w:t>
      </w:r>
      <w:r>
        <w:t xml:space="preserve">(SME)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Adult Demographic Updates from CRVS</w:t>
      </w:r>
      <w:r>
        <w:t xml:space="preserve">:</w:t>
      </w:r>
      <w:r>
        <w:t xml:space="preserve"> </w:t>
      </w:r>
      <w:r>
        <w:t xml:space="preserve">“Not recommended; requires customization”</w:t>
      </w:r>
      <w:r>
        <w:t xml:space="preserve"> </w:t>
      </w:r>
      <w:r>
        <w:t xml:space="preserve">(SME)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UIN Reactivation</w:t>
      </w:r>
      <w:r>
        <w:t xml:space="preserve">:</w:t>
      </w:r>
      <w:r>
        <w:t xml:space="preserve"> </w:t>
      </w:r>
      <w:r>
        <w:t xml:space="preserve">“Submit new request instead”</w:t>
      </w:r>
      <w:r>
        <w:t xml:space="preserve"> </w:t>
      </w:r>
      <w:r>
        <w:t xml:space="preserve">(SME)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MOSIP Internal Architecture</w:t>
      </w:r>
      <w:r>
        <w:t xml:space="preserve">: Focus on integration interfaces, not internal MOSIP workings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CRVS System Implementation</w:t>
      </w:r>
      <w:r>
        <w:t xml:space="preserve">: Guide assumes CRVS exists and focuses on integration points</w:t>
      </w:r>
    </w:p>
    <w:p>
      <w:r>
        <w:pict>
          <v:rect style="width:0;height:1.5pt" o:hralign="center" o:hrstd="t" o:hr="t"/>
        </w:pict>
      </w:r>
    </w:p>
    <w:bookmarkEnd w:id="46"/>
    <w:bookmarkStart w:id="49" w:name="documentation-artifacts-formats"/>
    <w:p>
      <w:pPr>
        <w:pStyle w:val="Heading2"/>
      </w:pPr>
      <w:r>
        <w:t xml:space="preserve">Documentation Artifacts &amp; Formats</w:t>
      </w:r>
    </w:p>
    <w:bookmarkStart w:id="47" w:name="primary-document-formats"/>
    <w:p>
      <w:pPr>
        <w:pStyle w:val="Heading3"/>
      </w:pPr>
      <w:r>
        <w:t xml:space="preserve">Primary Document Formats: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Web-based documentation</w:t>
      </w:r>
      <w:r>
        <w:t xml:space="preserve"> </w:t>
      </w:r>
      <w:r>
        <w:t xml:space="preserve">(Markdown → Gitbook/Docusaurus)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PDF export</w:t>
      </w:r>
      <w:r>
        <w:t xml:space="preserve"> </w:t>
      </w:r>
      <w:r>
        <w:t xml:space="preserve">for offline access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OpenAPI/Swagger</w:t>
      </w:r>
      <w:r>
        <w:t xml:space="preserve"> </w:t>
      </w:r>
      <w:r>
        <w:t xml:space="preserve">specs for API documentation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Sequence diagrams</w:t>
      </w:r>
      <w:r>
        <w:t xml:space="preserve"> </w:t>
      </w:r>
      <w:r>
        <w:t xml:space="preserve">(Mermaid/PlantUML)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 diagrams</w:t>
      </w:r>
      <w:r>
        <w:t xml:space="preserve"> </w:t>
      </w:r>
      <w:r>
        <w:t xml:space="preserve">(Draw.io/Lucidchart)</w:t>
      </w:r>
    </w:p>
    <w:bookmarkEnd w:id="47"/>
    <w:bookmarkStart w:id="48" w:name="supplementary-materials"/>
    <w:p>
      <w:pPr>
        <w:pStyle w:val="Heading3"/>
      </w:pPr>
      <w:r>
        <w:t xml:space="preserve">Supplementary Materials: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Quick Start Guide</w:t>
      </w:r>
      <w:r>
        <w:t xml:space="preserve"> </w:t>
      </w:r>
      <w:r>
        <w:t xml:space="preserve">(condensed version of sections 1-6)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Cheat Sheet</w:t>
      </w:r>
      <w:r>
        <w:t xml:space="preserve"> </w:t>
      </w:r>
      <w:r>
        <w:t xml:space="preserve">(one-page reference)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Workbook</w:t>
      </w:r>
      <w:r>
        <w:t xml:space="preserve"> </w:t>
      </w:r>
      <w:r>
        <w:t xml:space="preserve">(Excel/CSV for policy settings)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Runbook</w:t>
      </w:r>
      <w:r>
        <w:t xml:space="preserve"> </w:t>
      </w:r>
      <w:r>
        <w:t xml:space="preserve">(operational playbook for support teams)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metadata-taxonomy"/>
    <w:p>
      <w:pPr>
        <w:pStyle w:val="Heading2"/>
      </w:pPr>
      <w:r>
        <w:t xml:space="preserve">Metadata &amp; Taxonomy</w:t>
      </w:r>
    </w:p>
    <w:bookmarkStart w:id="50" w:name="content-tagging-system"/>
    <w:p>
      <w:pPr>
        <w:pStyle w:val="Heading3"/>
      </w:pPr>
      <w:r>
        <w:t xml:space="preserve">Content Tagging System: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Audience Tags</w:t>
      </w:r>
      <w:r>
        <w:t xml:space="preserve">: decision-maker, architect, developer, operator, tester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Complexity Tags</w:t>
      </w:r>
      <w:r>
        <w:t xml:space="preserve">: basic, intermediate, advanced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Topic Tags</w:t>
      </w:r>
      <w:r>
        <w:t xml:space="preserve">: birth-registration, death-registration, authentication, error-handling, etc.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 Tags</w:t>
      </w:r>
      <w:r>
        <w:t xml:space="preserve">: stable, beta, deprecated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 Enables faceted navigation and content filtering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success-metrics-for-this-ia"/>
    <w:p>
      <w:pPr>
        <w:pStyle w:val="Heading2"/>
      </w:pPr>
      <w:r>
        <w:t xml:space="preserve">Success Metrics for This IA</w:t>
      </w:r>
    </w:p>
    <w:bookmarkStart w:id="52" w:name="measurable-outcomes"/>
    <w:p>
      <w:pPr>
        <w:pStyle w:val="Heading3"/>
      </w:pPr>
      <w:r>
        <w:t xml:space="preserve">Measurable Outcomes: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Reduced Time-to-Understanding</w:t>
      </w:r>
      <w:r>
        <w:t xml:space="preserve">: Readers can identify relevant sections within 2 minutes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Self-Service Rate</w:t>
      </w:r>
      <w:r>
        <w:t xml:space="preserve">: 80% of common questions answerable without external support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Implementation Success</w:t>
      </w:r>
      <w:r>
        <w:t xml:space="preserve">: Integration teams complete setup with &lt;5 clarification requests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Maintenance Efficiency</w:t>
      </w:r>
      <w:r>
        <w:t xml:space="preserve">: 90% of updates require changes in only 1-2 sections (low coupling)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implementation-roadmap"/>
    <w:p>
      <w:pPr>
        <w:pStyle w:val="Heading2"/>
      </w:pPr>
      <w:r>
        <w:t xml:space="preserve">Implementation Roadmap</w:t>
      </w:r>
    </w:p>
    <w:bookmarkStart w:id="54" w:name="phase-1-foundation-weeks-1-2"/>
    <w:p>
      <w:pPr>
        <w:pStyle w:val="Heading3"/>
      </w:pPr>
      <w:r>
        <w:t xml:space="preserve">Phase 1: Foundation (Weeks 1-2)</w:t>
      </w:r>
    </w:p>
    <w:p>
      <w:pPr>
        <w:pStyle w:val="Compact"/>
        <w:numPr>
          <w:ilvl w:val="0"/>
          <w:numId w:val="1008"/>
        </w:numPr>
      </w:pPr>
      <w:r>
        <w:t xml:space="preserve">Sections 1, 2, 3 (Context, Overview, Principles)</w:t>
      </w:r>
    </w:p>
    <w:p>
      <w:pPr>
        <w:pStyle w:val="Compact"/>
        <w:numPr>
          <w:ilvl w:val="0"/>
          <w:numId w:val="1008"/>
        </w:numPr>
      </w:pPr>
      <w:r>
        <w:t xml:space="preserve">Section 6.1-6.3 (API Reference - Core)</w:t>
      </w:r>
    </w:p>
    <w:p>
      <w:pPr>
        <w:pStyle w:val="Compact"/>
        <w:numPr>
          <w:ilvl w:val="0"/>
          <w:numId w:val="1008"/>
        </w:numPr>
      </w:pPr>
      <w:r>
        <w:t xml:space="preserve">Section 15.1-15.2 (Glossary, Acronyms)</w:t>
      </w:r>
    </w:p>
    <w:bookmarkEnd w:id="54"/>
    <w:bookmarkStart w:id="55" w:name="phase-2-core-workflows-weeks-3-4"/>
    <w:p>
      <w:pPr>
        <w:pStyle w:val="Heading3"/>
      </w:pPr>
      <w:r>
        <w:t xml:space="preserve">Phase 2: Core Workflows (Weeks 3-4)</w:t>
      </w:r>
    </w:p>
    <w:p>
      <w:pPr>
        <w:pStyle w:val="Compact"/>
        <w:numPr>
          <w:ilvl w:val="0"/>
          <w:numId w:val="1009"/>
        </w:numPr>
      </w:pPr>
      <w:r>
        <w:t xml:space="preserve">Section 4.2 (Birth Registration)</w:t>
      </w:r>
    </w:p>
    <w:p>
      <w:pPr>
        <w:pStyle w:val="Compact"/>
        <w:numPr>
          <w:ilvl w:val="0"/>
          <w:numId w:val="1009"/>
        </w:numPr>
      </w:pPr>
      <w:r>
        <w:t xml:space="preserve">Section 4.3 (Death Registration)</w:t>
      </w:r>
    </w:p>
    <w:p>
      <w:pPr>
        <w:pStyle w:val="Compact"/>
        <w:numPr>
          <w:ilvl w:val="0"/>
          <w:numId w:val="1009"/>
        </w:numPr>
      </w:pPr>
      <w:r>
        <w:t xml:space="preserve">Section 7 (Security &amp; Authentication)</w:t>
      </w:r>
    </w:p>
    <w:p>
      <w:pPr>
        <w:pStyle w:val="Compact"/>
        <w:numPr>
          <w:ilvl w:val="0"/>
          <w:numId w:val="1009"/>
        </w:numPr>
      </w:pPr>
      <w:r>
        <w:t xml:space="preserve">Section 9 (Error Handling)</w:t>
      </w:r>
    </w:p>
    <w:bookmarkEnd w:id="55"/>
    <w:bookmarkStart w:id="56" w:name="phase-3-advanced-features-weeks-5-6"/>
    <w:p>
      <w:pPr>
        <w:pStyle w:val="Heading3"/>
      </w:pPr>
      <w:r>
        <w:t xml:space="preserve">Phase 3: Advanced Features (Weeks 5-6)</w:t>
      </w:r>
    </w:p>
    <w:p>
      <w:pPr>
        <w:pStyle w:val="Compact"/>
        <w:numPr>
          <w:ilvl w:val="0"/>
          <w:numId w:val="1010"/>
        </w:numPr>
      </w:pPr>
      <w:r>
        <w:t xml:space="preserve">Section 4.4 (Demographic Updates)</w:t>
      </w:r>
    </w:p>
    <w:p>
      <w:pPr>
        <w:pStyle w:val="Compact"/>
        <w:numPr>
          <w:ilvl w:val="0"/>
          <w:numId w:val="1010"/>
        </w:numPr>
      </w:pPr>
      <w:r>
        <w:t xml:space="preserve">Section 4.5 (Rare Scenarios)</w:t>
      </w:r>
    </w:p>
    <w:p>
      <w:pPr>
        <w:pStyle w:val="Compact"/>
        <w:numPr>
          <w:ilvl w:val="0"/>
          <w:numId w:val="1010"/>
        </w:numPr>
      </w:pPr>
      <w:r>
        <w:t xml:space="preserve">Section 8 (Notifications)</w:t>
      </w:r>
    </w:p>
    <w:p>
      <w:pPr>
        <w:pStyle w:val="Compact"/>
        <w:numPr>
          <w:ilvl w:val="0"/>
          <w:numId w:val="1010"/>
        </w:numPr>
      </w:pPr>
      <w:r>
        <w:t xml:space="preserve">Section 10 (Policy Configuration)</w:t>
      </w:r>
    </w:p>
    <w:bookmarkEnd w:id="56"/>
    <w:bookmarkStart w:id="57" w:name="phase-4-operations-support-weeks-7-8"/>
    <w:p>
      <w:pPr>
        <w:pStyle w:val="Heading3"/>
      </w:pPr>
      <w:r>
        <w:t xml:space="preserve">Phase 4: Operations &amp; Support (Weeks 7-8)</w:t>
      </w:r>
    </w:p>
    <w:p>
      <w:pPr>
        <w:pStyle w:val="Compact"/>
        <w:numPr>
          <w:ilvl w:val="0"/>
          <w:numId w:val="1011"/>
        </w:numPr>
      </w:pPr>
      <w:r>
        <w:t xml:space="preserve">Section 11 (Operational Considerations)</w:t>
      </w:r>
    </w:p>
    <w:p>
      <w:pPr>
        <w:pStyle w:val="Compact"/>
        <w:numPr>
          <w:ilvl w:val="0"/>
          <w:numId w:val="1011"/>
        </w:numPr>
      </w:pPr>
      <w:r>
        <w:t xml:space="preserve">Section 12 (Testing &amp; Validation)</w:t>
      </w:r>
    </w:p>
    <w:p>
      <w:pPr>
        <w:pStyle w:val="Compact"/>
        <w:numPr>
          <w:ilvl w:val="0"/>
          <w:numId w:val="1011"/>
        </w:numPr>
      </w:pPr>
      <w:r>
        <w:t xml:space="preserve">Section 14 (Troubleshooting)</w:t>
      </w:r>
    </w:p>
    <w:p>
      <w:pPr>
        <w:pStyle w:val="Compact"/>
        <w:numPr>
          <w:ilvl w:val="0"/>
          <w:numId w:val="1011"/>
        </w:numPr>
      </w:pPr>
      <w:r>
        <w:t xml:space="preserve">Section 13 (Code Examples)</w:t>
      </w:r>
    </w:p>
    <w:bookmarkEnd w:id="57"/>
    <w:bookmarkStart w:id="58" w:name="phase-5-refinement-week-9"/>
    <w:p>
      <w:pPr>
        <w:pStyle w:val="Heading3"/>
      </w:pPr>
      <w:r>
        <w:t xml:space="preserve">Phase 5: Refinement (Week 9)</w:t>
      </w:r>
    </w:p>
    <w:p>
      <w:pPr>
        <w:pStyle w:val="Compact"/>
        <w:numPr>
          <w:ilvl w:val="0"/>
          <w:numId w:val="1012"/>
        </w:numPr>
      </w:pPr>
      <w:r>
        <w:t xml:space="preserve">Section 5 (Technical Architecture - detailed diagrams)</w:t>
      </w:r>
    </w:p>
    <w:p>
      <w:pPr>
        <w:pStyle w:val="Compact"/>
        <w:numPr>
          <w:ilvl w:val="0"/>
          <w:numId w:val="1012"/>
        </w:numPr>
      </w:pPr>
      <w:r>
        <w:t xml:space="preserve">Section 15.3-15.6 (References, FAQ, Change Log)</w:t>
      </w:r>
    </w:p>
    <w:p>
      <w:pPr>
        <w:pStyle w:val="Compact"/>
        <w:numPr>
          <w:ilvl w:val="0"/>
          <w:numId w:val="1012"/>
        </w:numPr>
      </w:pPr>
      <w:r>
        <w:t xml:space="preserve">Visual polish, cross-linking, review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maintenance-governance"/>
    <w:p>
      <w:pPr>
        <w:pStyle w:val="Heading2"/>
      </w:pPr>
      <w:r>
        <w:t xml:space="preserve">Maintenance &amp; Governance</w:t>
      </w:r>
    </w:p>
    <w:bookmarkStart w:id="60" w:name="update-triggers"/>
    <w:p>
      <w:pPr>
        <w:pStyle w:val="Heading3"/>
      </w:pPr>
      <w:r>
        <w:t xml:space="preserve">Update Triggers: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API version changes</w:t>
      </w:r>
      <w:r>
        <w:t xml:space="preserve">: Update Section 6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Policy changes</w:t>
      </w:r>
      <w:r>
        <w:t xml:space="preserve">: Update Section 10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New use cases</w:t>
      </w:r>
      <w:r>
        <w:t xml:space="preserve">: Extend Section 4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Operational learnings</w:t>
      </w:r>
      <w:r>
        <w:t xml:space="preserve">: Update Section 14</w:t>
      </w:r>
    </w:p>
    <w:bookmarkEnd w:id="60"/>
    <w:bookmarkStart w:id="61" w:name="review-cycle"/>
    <w:p>
      <w:pPr>
        <w:pStyle w:val="Heading3"/>
      </w:pPr>
      <w:r>
        <w:t xml:space="preserve">Review Cycle: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Quarterly</w:t>
      </w:r>
      <w:r>
        <w:t xml:space="preserve">: Content accuracy review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Bi-annually</w:t>
      </w:r>
      <w:r>
        <w:t xml:space="preserve">: IA effectiveness assessment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Annually</w:t>
      </w:r>
      <w:r>
        <w:t xml:space="preserve">: Full restructuring review</w:t>
      </w:r>
    </w:p>
    <w:bookmarkEnd w:id="61"/>
    <w:bookmarkStart w:id="62" w:name="ownership"/>
    <w:p>
      <w:pPr>
        <w:pStyle w:val="Heading3"/>
      </w:pPr>
      <w:r>
        <w:t xml:space="preserve">Ownership: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Content Owner</w:t>
      </w:r>
      <w:r>
        <w:t xml:space="preserve">: Documentation team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Technical Reviewers</w:t>
      </w:r>
      <w:r>
        <w:t xml:space="preserve">: MOSIP architects + SMEs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Approval Authority</w:t>
      </w:r>
      <w:r>
        <w:t xml:space="preserve">: Product manager + Technical lead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alignment-with-industry-best-practices"/>
    <w:p>
      <w:pPr>
        <w:pStyle w:val="Heading2"/>
      </w:pPr>
      <w:r>
        <w:t xml:space="preserve">Alignment with Industry Best Practices</w:t>
      </w:r>
    </w:p>
    <w:bookmarkStart w:id="64" w:name="inspired-by-opencrvs-documentation"/>
    <w:p>
      <w:pPr>
        <w:pStyle w:val="Heading3"/>
      </w:pPr>
      <w:r>
        <w:t xml:space="preserve">Inspired by OpenCRVS Documentation:</w:t>
      </w:r>
    </w:p>
    <w:p>
      <w:pPr>
        <w:pStyle w:val="Compact"/>
        <w:numPr>
          <w:ilvl w:val="0"/>
          <w:numId w:val="1016"/>
        </w:numPr>
      </w:pPr>
      <w:r>
        <w:t xml:space="preserve">✅ Self-service OAuth client management (Section 7.1)</w:t>
      </w:r>
    </w:p>
    <w:p>
      <w:pPr>
        <w:pStyle w:val="Compact"/>
        <w:numPr>
          <w:ilvl w:val="0"/>
          <w:numId w:val="1016"/>
        </w:numPr>
      </w:pPr>
      <w:r>
        <w:t xml:space="preserve">✅ Clear integration pattern taxonomy (Section 4.1)</w:t>
      </w:r>
    </w:p>
    <w:p>
      <w:pPr>
        <w:pStyle w:val="Compact"/>
        <w:numPr>
          <w:ilvl w:val="0"/>
          <w:numId w:val="1016"/>
        </w:numPr>
      </w:pPr>
      <w:r>
        <w:t xml:space="preserve">✅ Webhook/event-driven architecture (Section 8)</w:t>
      </w:r>
    </w:p>
    <w:p>
      <w:pPr>
        <w:pStyle w:val="Compact"/>
        <w:numPr>
          <w:ilvl w:val="0"/>
          <w:numId w:val="1016"/>
        </w:numPr>
      </w:pPr>
      <w:r>
        <w:t xml:space="preserve">✅ Offline considerations (explicitly marked as not supported)</w:t>
      </w:r>
    </w:p>
    <w:p>
      <w:pPr>
        <w:pStyle w:val="Compact"/>
        <w:numPr>
          <w:ilvl w:val="0"/>
          <w:numId w:val="1016"/>
        </w:numPr>
      </w:pPr>
      <w:r>
        <w:t xml:space="preserve">✅ Progressive disclosure (conceptual → detailed)</w:t>
      </w:r>
    </w:p>
    <w:bookmarkEnd w:id="64"/>
    <w:bookmarkStart w:id="65" w:name="aligned-with-id4d-unicef-guidance"/>
    <w:p>
      <w:pPr>
        <w:pStyle w:val="Heading3"/>
      </w:pPr>
      <w:r>
        <w:t xml:space="preserve">Aligned with ID4D &amp; UNICEF Guidance:</w:t>
      </w:r>
    </w:p>
    <w:p>
      <w:pPr>
        <w:pStyle w:val="Compact"/>
        <w:numPr>
          <w:ilvl w:val="0"/>
          <w:numId w:val="1017"/>
        </w:numPr>
      </w:pPr>
      <w:r>
        <w:t xml:space="preserve">✅ Legal identity lifecycle perspective (Section 1.2, 2.1)</w:t>
      </w:r>
    </w:p>
    <w:p>
      <w:pPr>
        <w:pStyle w:val="Compact"/>
        <w:numPr>
          <w:ilvl w:val="0"/>
          <w:numId w:val="1017"/>
        </w:numPr>
      </w:pPr>
      <w:r>
        <w:t xml:space="preserve">✅ Privacy and data protection (Section 7.4)</w:t>
      </w:r>
    </w:p>
    <w:p>
      <w:pPr>
        <w:pStyle w:val="Compact"/>
        <w:numPr>
          <w:ilvl w:val="0"/>
          <w:numId w:val="1017"/>
        </w:numPr>
      </w:pPr>
      <w:r>
        <w:t xml:space="preserve">✅ Inclusive design (informant/introducer concepts in Section 4.2)</w:t>
      </w:r>
    </w:p>
    <w:bookmarkEnd w:id="65"/>
    <w:bookmarkStart w:id="66" w:name="following-technical-writing-standards"/>
    <w:p>
      <w:pPr>
        <w:pStyle w:val="Heading3"/>
      </w:pPr>
      <w:r>
        <w:t xml:space="preserve">Following Technical Writing Standards:</w:t>
      </w:r>
    </w:p>
    <w:p>
      <w:pPr>
        <w:pStyle w:val="Compact"/>
        <w:numPr>
          <w:ilvl w:val="0"/>
          <w:numId w:val="1018"/>
        </w:numPr>
      </w:pPr>
      <w:r>
        <w:t xml:space="preserve">✅ Task-oriented content (Section 4, 6, 12, 13)</w:t>
      </w:r>
    </w:p>
    <w:p>
      <w:pPr>
        <w:pStyle w:val="Compact"/>
        <w:numPr>
          <w:ilvl w:val="0"/>
          <w:numId w:val="1018"/>
        </w:numPr>
      </w:pPr>
      <w:r>
        <w:t xml:space="preserve">✅ Minimalism (defer internal MOSIP details)</w:t>
      </w:r>
    </w:p>
    <w:p>
      <w:pPr>
        <w:pStyle w:val="Compact"/>
        <w:numPr>
          <w:ilvl w:val="0"/>
          <w:numId w:val="1018"/>
        </w:numPr>
      </w:pPr>
      <w:r>
        <w:t xml:space="preserve">✅ Topic-based authoring (reusable content blocks)</w:t>
      </w:r>
    </w:p>
    <w:p>
      <w:pPr>
        <w:pStyle w:val="Compact"/>
        <w:numPr>
          <w:ilvl w:val="0"/>
          <w:numId w:val="1018"/>
        </w:numPr>
      </w:pPr>
      <w:r>
        <w:t xml:space="preserve">✅ Consistent terminology (Section 15.1 Glossary)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ppendix-key-design-decisions-log"/>
    <w:p>
      <w:pPr>
        <w:pStyle w:val="Heading2"/>
      </w:pPr>
      <w:r>
        <w:t xml:space="preserve">Appendix: Key Design Decisions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3226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“CRVS as Source of Truth”</w:t>
            </w:r>
            <w:r>
              <w:t xml:space="preserve"> </w:t>
            </w:r>
            <w:r>
              <w:t xml:space="preserve">as core principle</w:t>
            </w:r>
          </w:p>
        </w:tc>
        <w:tc>
          <w:tcPr/>
          <w:p>
            <w:pPr>
              <w:pStyle w:val="Compact"/>
            </w:pPr>
            <w:r>
              <w:t xml:space="preserve">SME emphasis; impacts de-duplication policy</w:t>
            </w:r>
          </w:p>
        </w:tc>
        <w:tc>
          <w:tcPr/>
          <w:p>
            <w:pPr>
              <w:pStyle w:val="Compact"/>
            </w:pPr>
            <w:r>
              <w:t xml:space="preserve">2026-01-22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 before Architecture</w:t>
            </w:r>
          </w:p>
        </w:tc>
        <w:tc>
          <w:tcPr/>
          <w:p>
            <w:pPr>
              <w:pStyle w:val="Compact"/>
            </w:pPr>
            <w:r>
              <w:t xml:space="preserve">Progressive disclosure; user-centered</w:t>
            </w:r>
          </w:p>
        </w:tc>
        <w:tc>
          <w:tcPr/>
          <w:p>
            <w:pPr>
              <w:pStyle w:val="Compact"/>
            </w:pPr>
            <w:r>
              <w:t xml:space="preserve">2026-01-22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Rare scenarios in dedicated subsection</w:t>
            </w:r>
          </w:p>
        </w:tc>
        <w:tc>
          <w:tcPr/>
          <w:p>
            <w:pPr>
              <w:pStyle w:val="Compact"/>
            </w:pPr>
            <w:r>
              <w:t xml:space="preserve">SME clarification on deactivation/reversal</w:t>
            </w:r>
          </w:p>
        </w:tc>
        <w:tc>
          <w:tcPr/>
          <w:p>
            <w:pPr>
              <w:pStyle w:val="Compact"/>
            </w:pPr>
            <w:r>
              <w:t xml:space="preserve">2026-01-22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client management prominent</w:t>
            </w:r>
          </w:p>
        </w:tc>
        <w:tc>
          <w:tcPr/>
          <w:p>
            <w:pPr>
              <w:pStyle w:val="Compact"/>
            </w:pPr>
            <w:r>
              <w:t xml:space="preserve">OpenCRVS benchmark; critical gap</w:t>
            </w:r>
          </w:p>
        </w:tc>
        <w:tc>
          <w:tcPr/>
          <w:p>
            <w:pPr>
              <w:pStyle w:val="Compact"/>
            </w:pPr>
            <w:r>
              <w:t xml:space="preserve">2026-01-22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Resident-centric notification model</w:t>
            </w:r>
          </w:p>
        </w:tc>
        <w:tc>
          <w:tcPr/>
          <w:p>
            <w:pPr>
              <w:pStyle w:val="Compact"/>
            </w:pPr>
            <w:r>
              <w:t xml:space="preserve">SME rationale for CRVS not receiving failures</w:t>
            </w:r>
          </w:p>
        </w:tc>
        <w:tc>
          <w:tcPr/>
          <w:p>
            <w:pPr>
              <w:pStyle w:val="Compact"/>
            </w:pPr>
            <w:r>
              <w:t xml:space="preserve">2026-01-22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configuration as first-class section</w:t>
            </w:r>
          </w:p>
        </w:tc>
        <w:tc>
          <w:tcPr/>
          <w:p>
            <w:pPr>
              <w:pStyle w:val="Compact"/>
            </w:pPr>
            <w:r>
              <w:t xml:space="preserve">Country customization is key decision point</w:t>
            </w:r>
          </w:p>
        </w:tc>
        <w:tc>
          <w:tcPr/>
          <w:p>
            <w:pPr>
              <w:pStyle w:val="Compact"/>
            </w:pPr>
            <w:r>
              <w:t xml:space="preserve">2026-01-22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Offline integration explicitly out-of-scope</w:t>
            </w:r>
          </w:p>
        </w:tc>
        <w:tc>
          <w:tcPr/>
          <w:p>
            <w:pPr>
              <w:pStyle w:val="Compact"/>
            </w:pPr>
            <w:r>
              <w:t xml:space="preserve">SME directive; no current support</w:t>
            </w:r>
          </w:p>
        </w:tc>
        <w:tc>
          <w:tcPr/>
          <w:p>
            <w:pPr>
              <w:pStyle w:val="Compact"/>
            </w:pPr>
            <w:r>
              <w:t xml:space="preserve">2026-01-22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Adult demographic updates discouraged</w:t>
            </w:r>
          </w:p>
        </w:tc>
        <w:tc>
          <w:tcPr/>
          <w:p>
            <w:pPr>
              <w:pStyle w:val="Compact"/>
            </w:pPr>
            <w:r>
              <w:t xml:space="preserve">SME recommendation; security/assurance concern</w:t>
            </w:r>
          </w:p>
        </w:tc>
        <w:tc>
          <w:tcPr/>
          <w:p>
            <w:pPr>
              <w:pStyle w:val="Compact"/>
            </w:pPr>
            <w:r>
              <w:t xml:space="preserve">2026-01-22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69" w:name="document-control"/>
    <w:p>
      <w:pPr>
        <w:pStyle w:val="Heading2"/>
      </w:pPr>
      <w:r>
        <w:t xml:space="preserve">Document Control</w:t>
      </w:r>
    </w:p>
    <w:p>
      <w:pPr>
        <w:pStyle w:val="FirstParagraph"/>
      </w:pPr>
      <w:r>
        <w:rPr>
          <w:b/>
          <w:bCs/>
        </w:rPr>
        <w:t xml:space="preserve">Created</w:t>
      </w:r>
      <w:r>
        <w:t xml:space="preserve">: 22 January 2026</w:t>
      </w:r>
      <w:r>
        <w:br/>
      </w:r>
      <w:r>
        <w:rPr>
          <w:b/>
          <w:bCs/>
        </w:rPr>
        <w:t xml:space="preserve">Last Reviewed</w:t>
      </w:r>
      <w:r>
        <w:t xml:space="preserve">: 22 January 2026</w:t>
      </w:r>
      <w:r>
        <w:br/>
      </w:r>
      <w:r>
        <w:rPr>
          <w:b/>
          <w:bCs/>
        </w:rPr>
        <w:t xml:space="preserve">Next Review</w:t>
      </w:r>
      <w:r>
        <w:t xml:space="preserve">: 22 April 2026</w:t>
      </w:r>
      <w:r>
        <w:br/>
      </w:r>
      <w:r>
        <w:rPr>
          <w:b/>
          <w:bCs/>
        </w:rPr>
        <w:t xml:space="preserve">Version</w:t>
      </w:r>
      <w:r>
        <w:t xml:space="preserve">: 2.0</w:t>
      </w:r>
      <w:r>
        <w:br/>
      </w:r>
      <w:r>
        <w:rPr>
          <w:b/>
          <w:bCs/>
        </w:rPr>
        <w:t xml:space="preserve">Status</w:t>
      </w:r>
      <w:r>
        <w:t xml:space="preserve">: Approved for Implementation</w:t>
      </w:r>
    </w:p>
    <w:p>
      <w:pPr>
        <w:pStyle w:val="BodyText"/>
      </w:pPr>
      <w:r>
        <w:rPr>
          <w:b/>
          <w:bCs/>
        </w:rPr>
        <w:t xml:space="preserve">Change History</w:t>
      </w:r>
      <w:r>
        <w:t xml:space="preserve">:</w:t>
      </w:r>
      <w:r>
        <w:t xml:space="preserve"> </w:t>
      </w:r>
      <w:r>
        <w:t xml:space="preserve">- v1.0 (Dec 2025): Initial draft IA</w:t>
      </w:r>
      <w:r>
        <w:t xml:space="preserve"> </w:t>
      </w:r>
      <w:r>
        <w:t xml:space="preserve">- v2.0 (Jan 2026): Refined based on SME meeting, gap analysis, OpenCRVS benchmarking</w:t>
      </w:r>
    </w:p>
    <w:p>
      <w:pPr>
        <w:pStyle w:val="BodyText"/>
      </w:pPr>
      <w:r>
        <w:rPr>
          <w:b/>
          <w:bCs/>
        </w:rPr>
        <w:t xml:space="preserve">Reviewers</w:t>
      </w:r>
      <w:r>
        <w:t xml:space="preserve">:</w:t>
      </w:r>
      <w:r>
        <w:t xml:space="preserve"> </w:t>
      </w:r>
      <w:r>
        <w:t xml:space="preserve">- Rachik Sharma (SME - MOSIP Integration)</w:t>
      </w:r>
      <w:r>
        <w:t xml:space="preserve"> </w:t>
      </w:r>
      <w:r>
        <w:t xml:space="preserve">- Keshav Singh (Information Architect)</w:t>
      </w:r>
      <w:r>
        <w:t xml:space="preserve"> </w:t>
      </w:r>
      <w:r>
        <w:t xml:space="preserve">- [Pending] Technical Writer Team</w:t>
      </w:r>
      <w:r>
        <w:t xml:space="preserve"> </w:t>
      </w:r>
      <w:r>
        <w:t xml:space="preserve">- [Pending] Documentation Lead</w:t>
      </w:r>
    </w:p>
    <w:p>
      <w:r>
        <w:pict>
          <v:rect style="width:0;height:1.5pt" o:hralign="center" o:hrstd="t" o:hr="t"/>
        </w:pict>
      </w:r>
    </w:p>
    <w:bookmarkEnd w:id="69"/>
    <w:bookmarkStart w:id="71" w:name="X7e66ec92443de4d2f62dc22b8c1aee8e325d850"/>
    <w:p>
      <w:pPr>
        <w:pStyle w:val="Heading2"/>
      </w:pPr>
      <w:r>
        <w:t xml:space="preserve">Appendix A: OpenCRVS Documentation Analysis &amp; IA Influence</w:t>
      </w:r>
    </w:p>
    <w:bookmarkStart w:id="7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MOSIP-CRVS Integration Guide IA was specifically informed by analyzing OpenCRVS documentation structure and best practices. This appendix documents the learnings and how they were applied.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2" w:name="Xddfab44516a1c5ece55b096fc981c15f7d29644"/>
    <w:p>
      <w:pPr>
        <w:pStyle w:val="Heading2"/>
      </w:pPr>
      <w:r>
        <w:t xml:space="preserve">OpenCRVS IA Patterns Applied to MOSIP-CRVS Guide</w:t>
      </w:r>
    </w:p>
    <w:bookmarkStart w:id="72" w:name="integration-type-taxonomy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Integration-Type Taxonomy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OpenCRVS Approach</w:t>
      </w:r>
      <w:r>
        <w:t xml:space="preserve">: They organize interoperability by</w:t>
      </w:r>
      <w:r>
        <w:t xml:space="preserve"> </w:t>
      </w:r>
      <w:r>
        <w:rPr>
          <w:b/>
          <w:bCs/>
        </w:rPr>
        <w:t xml:space="preserve">client types</w:t>
      </w:r>
      <w:r>
        <w:t xml:space="preserve">:</w:t>
      </w:r>
      <w:r>
        <w:t xml:space="preserve"> </w:t>
      </w:r>
      <w:r>
        <w:t xml:space="preserve">- Record Search Client</w:t>
      </w:r>
      <w:r>
        <w:t xml:space="preserve"> </w:t>
      </w:r>
      <w:r>
        <w:t xml:space="preserve">- Event Notification Client</w:t>
      </w:r>
      <w:r>
        <w:br/>
      </w:r>
      <w:r>
        <w:t xml:space="preserve">- Webhook Client</w:t>
      </w:r>
    </w:p>
    <w:p>
      <w:pPr>
        <w:pStyle w:val="BodyText"/>
      </w:pPr>
      <w:r>
        <w:rPr>
          <w:b/>
          <w:bCs/>
        </w:rPr>
        <w:t xml:space="preserve">Applied to MOSIP-CRVS IA</w:t>
      </w:r>
      <w:r>
        <w:t xml:space="preserve">:</w:t>
      </w:r>
      <w:r>
        <w:t xml:space="preserve"> </w:t>
      </w:r>
      <w:r>
        <w:t xml:space="preserve">- Section 4 organizes by</w:t>
      </w:r>
      <w:r>
        <w:t xml:space="preserve"> </w:t>
      </w:r>
      <w:r>
        <w:rPr>
          <w:b/>
          <w:bCs/>
        </w:rPr>
        <w:t xml:space="preserve">integration patterns</w:t>
      </w:r>
      <w:r>
        <w:t xml:space="preserve"> </w:t>
      </w:r>
      <w:r>
        <w:t xml:space="preserve">(Birth, Death, Update)</w:t>
      </w:r>
      <w:r>
        <w:t xml:space="preserve"> </w:t>
      </w:r>
      <w:r>
        <w:t xml:space="preserve">- Section 8 separates</w:t>
      </w:r>
      <w:r>
        <w:t xml:space="preserve"> </w:t>
      </w:r>
      <w:r>
        <w:rPr>
          <w:b/>
          <w:bCs/>
        </w:rPr>
        <w:t xml:space="preserve">Notifications &amp; Event Handling</w:t>
      </w:r>
      <w:r>
        <w:t xml:space="preserve"> </w:t>
      </w:r>
      <w:r>
        <w:t xml:space="preserve">as standalone concern</w:t>
      </w:r>
      <w:r>
        <w:t xml:space="preserve"> </w:t>
      </w:r>
      <w:r>
        <w:t xml:space="preserve">- Section 7.1 dedicates OAuth client management (inspired by their self-service client creation)</w:t>
      </w:r>
    </w:p>
    <w:bookmarkEnd w:id="72"/>
    <w:bookmarkStart w:id="73" w:name="progressive-disclosure-1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Progressive Disclosure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OpenCRVS Approach</w:t>
      </w:r>
      <w:r>
        <w:t xml:space="preserve">:</w:t>
      </w:r>
      <w:r>
        <w:t xml:space="preserve"> </w:t>
      </w:r>
      <w:r>
        <w:t xml:space="preserve">- Home → Why needed → Product specs → Technology → Setup</w:t>
      </w:r>
      <w:r>
        <w:t xml:space="preserve"> </w:t>
      </w:r>
      <w:r>
        <w:t xml:space="preserve">- Conceptual understanding before technical implementation</w:t>
      </w:r>
    </w:p>
    <w:p>
      <w:pPr>
        <w:pStyle w:val="BodyText"/>
      </w:pPr>
      <w:r>
        <w:rPr>
          <w:b/>
          <w:bCs/>
        </w:rPr>
        <w:t xml:space="preserve">Applied to MOSIP-CRVS IA</w:t>
      </w:r>
      <w:r>
        <w:t xml:space="preserve">:</w:t>
      </w:r>
      <w:r>
        <w:t xml:space="preserve"> </w:t>
      </w:r>
      <w:r>
        <w:t xml:space="preserve">- Sections 1-3:</w:t>
      </w:r>
      <w:r>
        <w:t xml:space="preserve"> </w:t>
      </w:r>
      <w:r>
        <w:rPr>
          <w:b/>
          <w:bCs/>
        </w:rPr>
        <w:t xml:space="preserve">Context &amp; Principles</w:t>
      </w:r>
      <w:r>
        <w:t xml:space="preserve"> </w:t>
      </w:r>
      <w:r>
        <w:t xml:space="preserve">(WHY)</w:t>
      </w:r>
      <w:r>
        <w:t xml:space="preserve"> </w:t>
      </w:r>
      <w:r>
        <w:t xml:space="preserve">- Section 4:</w:t>
      </w:r>
      <w:r>
        <w:t xml:space="preserve"> </w:t>
      </w:r>
      <w:r>
        <w:rPr>
          <w:b/>
          <w:bCs/>
        </w:rPr>
        <w:t xml:space="preserve">Workflows</w:t>
      </w:r>
      <w:r>
        <w:t xml:space="preserve"> </w:t>
      </w:r>
      <w:r>
        <w:t xml:space="preserve">(WHAT)</w:t>
      </w:r>
      <w:r>
        <w:t xml:space="preserve"> </w:t>
      </w:r>
      <w:r>
        <w:t xml:space="preserve">- Sections 5-7:</w:t>
      </w:r>
      <w:r>
        <w:t xml:space="preserve"> </w:t>
      </w:r>
      <w:r>
        <w:rPr>
          <w:b/>
          <w:bCs/>
        </w:rPr>
        <w:t xml:space="preserve">Technical Implementation</w:t>
      </w:r>
      <w:r>
        <w:t xml:space="preserve"> </w:t>
      </w:r>
      <w:r>
        <w:t xml:space="preserve">(HOW)</w:t>
      </w:r>
      <w:r>
        <w:t xml:space="preserve"> </w:t>
      </w:r>
      <w:r>
        <w:t xml:space="preserve">- Sections 11-14:</w:t>
      </w:r>
      <w:r>
        <w:t xml:space="preserve"> </w:t>
      </w:r>
      <w:r>
        <w:rPr>
          <w:b/>
          <w:bCs/>
        </w:rPr>
        <w:t xml:space="preserve">Operations</w:t>
      </w:r>
      <w:r>
        <w:t xml:space="preserve"> </w:t>
      </w:r>
      <w:r>
        <w:t xml:space="preserve">(MAINTAIN)</w:t>
      </w:r>
    </w:p>
    <w:bookmarkEnd w:id="73"/>
    <w:bookmarkStart w:id="74" w:name="security-as-first-class-concern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Security as First-Class Concern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OpenCRVS Approach</w:t>
      </w:r>
      <w:r>
        <w:t xml:space="preserve">:</w:t>
      </w:r>
      <w:r>
        <w:t xml:space="preserve"> </w:t>
      </w:r>
      <w:r>
        <w:t xml:space="preserve">- Dedicated OAuth client creation workflow</w:t>
      </w:r>
      <w:r>
        <w:t xml:space="preserve"> </w:t>
      </w:r>
      <w:r>
        <w:t xml:space="preserve">- SHA Secret for payload signing</w:t>
      </w:r>
      <w:r>
        <w:t xml:space="preserve"> </w:t>
      </w:r>
      <w:r>
        <w:t xml:space="preserve">- Client lifecycle management (activate/deactivate/refresh)</w:t>
      </w:r>
      <w:r>
        <w:t xml:space="preserve"> </w:t>
      </w:r>
      <w:r>
        <w:t xml:space="preserve">- Personal accountability for client creators</w:t>
      </w:r>
    </w:p>
    <w:p>
      <w:pPr>
        <w:pStyle w:val="BodyText"/>
      </w:pPr>
      <w:r>
        <w:rPr>
          <w:b/>
          <w:bCs/>
        </w:rPr>
        <w:t xml:space="preserve">Applied to MOSIP-CRVS IA</w:t>
      </w:r>
      <w:r>
        <w:t xml:space="preserve">:</w:t>
      </w:r>
      <w:r>
        <w:t xml:space="preserve"> </w:t>
      </w:r>
      <w:r>
        <w:t xml:space="preserve">- Section 7 elevated to top-level (not buried in appendix)</w:t>
      </w:r>
      <w:r>
        <w:t xml:space="preserve"> </w:t>
      </w:r>
      <w:r>
        <w:t xml:space="preserve">- Section 7.1: OAuth2 client setup with detailed subsections</w:t>
      </w:r>
      <w:r>
        <w:t xml:space="preserve"> </w:t>
      </w:r>
      <w:r>
        <w:t xml:space="preserve">- Section 7.3: Audit &amp; traceability explicitly documented</w:t>
      </w:r>
      <w:r>
        <w:t xml:space="preserve"> </w:t>
      </w:r>
      <w:r>
        <w:t xml:space="preserve">- Section 7.4: Data privacy as dedicated subsection</w:t>
      </w:r>
    </w:p>
    <w:bookmarkEnd w:id="74"/>
    <w:bookmarkStart w:id="75" w:name="Xd324ddb2c51fe9fa62d947fbfb31019ee58038e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Separation of Default vs Optional Features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OpenCRVS Approach</w:t>
      </w:r>
      <w:r>
        <w:t xml:space="preserve">:</w:t>
      </w:r>
      <w:r>
        <w:t xml:space="preserve"> </w:t>
      </w:r>
      <w:r>
        <w:t xml:space="preserve">- Clear distinction:</w:t>
      </w:r>
      <w:r>
        <w:t xml:space="preserve"> </w:t>
      </w:r>
      <w:r>
        <w:t xml:space="preserve">“By default X happens”</w:t>
      </w:r>
      <w:r>
        <w:t xml:space="preserve"> </w:t>
      </w:r>
      <w:r>
        <w:t xml:space="preserve">- Optional features clearly marked (e.g., WebSub back to external systems)</w:t>
      </w:r>
    </w:p>
    <w:p>
      <w:pPr>
        <w:pStyle w:val="BodyText"/>
      </w:pPr>
      <w:r>
        <w:rPr>
          <w:b/>
          <w:bCs/>
        </w:rPr>
        <w:t xml:space="preserve">Applied to MOSIP-CRVS IA</w:t>
      </w:r>
      <w:r>
        <w:t xml:space="preserve">:</w:t>
      </w:r>
      <w:r>
        <w:t xml:space="preserve"> </w:t>
      </w:r>
      <w:r>
        <w:t xml:space="preserve">- Section 8.2:</w:t>
      </w:r>
      <w:r>
        <w:t xml:space="preserve"> </w:t>
      </w:r>
      <w:r>
        <w:rPr>
          <w:b/>
          <w:bCs/>
        </w:rPr>
        <w:t xml:space="preserve">Default</w:t>
      </w:r>
      <w:r>
        <w:t xml:space="preserve"> </w:t>
      </w:r>
      <w:r>
        <w:t xml:space="preserve">Resident Notifications</w:t>
      </w:r>
      <w:r>
        <w:t xml:space="preserve"> </w:t>
      </w:r>
      <w:r>
        <w:t xml:space="preserve">- Section 8.3: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WebSub Integration (clearly labeled)</w:t>
      </w:r>
      <w:r>
        <w:t xml:space="preserve"> </w:t>
      </w:r>
      <w:r>
        <w:t xml:space="preserve">- Section 2.4:</w:t>
      </w:r>
      <w:r>
        <w:t xml:space="preserve"> </w:t>
      </w:r>
      <w:r>
        <w:rPr>
          <w:b/>
          <w:bCs/>
        </w:rPr>
        <w:t xml:space="preserve">What’s NOT in Scope</w:t>
      </w:r>
      <w:r>
        <w:t xml:space="preserve"> </w:t>
      </w:r>
      <w:r>
        <w:t xml:space="preserve">(explicit boundaries)</w:t>
      </w:r>
    </w:p>
    <w:bookmarkEnd w:id="75"/>
    <w:bookmarkStart w:id="76" w:name="event-driven-architecture-documentation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Event-Driven Architecture Documentation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OpenCRVS Approach</w:t>
      </w:r>
      <w:r>
        <w:t xml:space="preserve">:</w:t>
      </w:r>
      <w:r>
        <w:t xml:space="preserve"> </w:t>
      </w:r>
      <w:r>
        <w:t xml:space="preserve">- Webhooks for status updates</w:t>
      </w:r>
      <w:r>
        <w:t xml:space="preserve"> </w:t>
      </w:r>
      <w:r>
        <w:t xml:space="preserve">- Event notification from external systems</w:t>
      </w:r>
      <w:r>
        <w:t xml:space="preserve"> </w:t>
      </w:r>
      <w:r>
        <w:t xml:space="preserve">- Clear subscription model</w:t>
      </w:r>
    </w:p>
    <w:p>
      <w:pPr>
        <w:pStyle w:val="BodyText"/>
      </w:pPr>
      <w:r>
        <w:rPr>
          <w:b/>
          <w:bCs/>
        </w:rPr>
        <w:t xml:space="preserve">Applied to MOSIP-CRVS IA</w:t>
      </w:r>
      <w:r>
        <w:t xml:space="preserve">:</w:t>
      </w:r>
      <w:r>
        <w:t xml:space="preserve"> </w:t>
      </w:r>
      <w:r>
        <w:t xml:space="preserve">- Section 8: Dedicated</w:t>
      </w:r>
      <w:r>
        <w:t xml:space="preserve"> </w:t>
      </w:r>
      <w:r>
        <w:rPr>
          <w:b/>
          <w:bCs/>
        </w:rPr>
        <w:t xml:space="preserve">Notifications &amp; Event Handling</w:t>
      </w:r>
      <w:r>
        <w:t xml:space="preserve"> </w:t>
      </w:r>
      <w:r>
        <w:t xml:space="preserve">- Section 8.3: WebSub subscription patterns</w:t>
      </w:r>
      <w:r>
        <w:t xml:space="preserve"> </w:t>
      </w:r>
      <w:r>
        <w:t xml:space="preserve">- Section 8.4: Event payload specifications</w:t>
      </w:r>
    </w:p>
    <w:bookmarkEnd w:id="76"/>
    <w:bookmarkStart w:id="77" w:name="user-persona-navigation"/>
    <w:p>
      <w:pPr>
        <w:pStyle w:val="Heading3"/>
      </w:pPr>
      <w:r>
        <w:t xml:space="preserve">6.</w:t>
      </w:r>
      <w:r>
        <w:t xml:space="preserve"> </w:t>
      </w:r>
      <w:r>
        <w:rPr>
          <w:b/>
          <w:bCs/>
        </w:rPr>
        <w:t xml:space="preserve">User-Persona Navigation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OpenCRVS Approach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“For governments, system integrators, and development partners”</w:t>
      </w:r>
      <w:r>
        <w:t xml:space="preserve"> </w:t>
      </w:r>
      <w:r>
        <w:t xml:space="preserve">- Different entry points for different audiences</w:t>
      </w:r>
    </w:p>
    <w:p>
      <w:pPr>
        <w:pStyle w:val="BodyText"/>
      </w:pPr>
      <w:r>
        <w:rPr>
          <w:b/>
          <w:bCs/>
        </w:rPr>
        <w:t xml:space="preserve">Applied to MOSIP-CRVS IA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 Pathways</w:t>
      </w:r>
      <w:r>
        <w:t xml:space="preserve"> </w:t>
      </w:r>
      <w:r>
        <w:t xml:space="preserve">section defining 5 distinct reader journeys</w:t>
      </w:r>
      <w:r>
        <w:t xml:space="preserve"> </w:t>
      </w:r>
      <w:r>
        <w:t xml:space="preserve">-</w:t>
      </w:r>
      <w:r>
        <w:t xml:space="preserve"> </w:t>
      </w:r>
      <w:r>
        <w:t xml:space="preserve">“Who should read this”</w:t>
      </w:r>
      <w:r>
        <w:t xml:space="preserve"> </w:t>
      </w:r>
      <w:r>
        <w:t xml:space="preserve">callouts planned for each section</w:t>
      </w:r>
      <w:r>
        <w:t xml:space="preserve"> </w:t>
      </w:r>
      <w:r>
        <w:t xml:space="preserve">- Audience tags in metadata taxonomy</w:t>
      </w:r>
    </w:p>
    <w:bookmarkEnd w:id="77"/>
    <w:bookmarkStart w:id="78" w:name="operational-considerations-prominent"/>
    <w:p>
      <w:pPr>
        <w:pStyle w:val="Heading3"/>
      </w:pPr>
      <w:r>
        <w:t xml:space="preserve">7.</w:t>
      </w:r>
      <w:r>
        <w:t xml:space="preserve"> </w:t>
      </w:r>
      <w:r>
        <w:rPr>
          <w:b/>
          <w:bCs/>
        </w:rPr>
        <w:t xml:space="preserve">Operational Considerations Prominent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OpenCRVS Approach</w:t>
      </w:r>
      <w:r>
        <w:t xml:space="preserve">:</w:t>
      </w:r>
      <w:r>
        <w:t xml:space="preserve"> </w:t>
      </w:r>
      <w:r>
        <w:t xml:space="preserve">- Architecture section includes deployment, monitoring, health checks</w:t>
      </w:r>
      <w:r>
        <w:t xml:space="preserve"> </w:t>
      </w:r>
      <w:r>
        <w:t xml:space="preserve">- Kibana integration, performance tests documented</w:t>
      </w:r>
    </w:p>
    <w:p>
      <w:pPr>
        <w:pStyle w:val="BodyText"/>
      </w:pPr>
      <w:r>
        <w:rPr>
          <w:b/>
          <w:bCs/>
        </w:rPr>
        <w:t xml:space="preserve">Applied to MOSIP-CRVS IA</w:t>
      </w:r>
      <w:r>
        <w:t xml:space="preserve">:</w:t>
      </w:r>
      <w:r>
        <w:t xml:space="preserve"> </w:t>
      </w:r>
      <w:r>
        <w:t xml:space="preserve">- Section 11:</w:t>
      </w:r>
      <w:r>
        <w:t xml:space="preserve"> </w:t>
      </w:r>
      <w:r>
        <w:rPr>
          <w:b/>
          <w:bCs/>
        </w:rPr>
        <w:t xml:space="preserve">Operational Considerations</w:t>
      </w:r>
      <w:r>
        <w:t xml:space="preserve"> </w:t>
      </w:r>
      <w:r>
        <w:t xml:space="preserve">as major section</w:t>
      </w:r>
      <w:r>
        <w:t xml:space="preserve"> </w:t>
      </w:r>
      <w:r>
        <w:t xml:space="preserve">- Section 11.3: Monitoring &amp; observability detailed</w:t>
      </w:r>
      <w:r>
        <w:t xml:space="preserve"> </w:t>
      </w:r>
      <w:r>
        <w:t xml:space="preserve">- Section 11.4: Performance &amp; scalability</w:t>
      </w:r>
    </w:p>
    <w:bookmarkEnd w:id="78"/>
    <w:bookmarkStart w:id="79" w:name="standards-external-references"/>
    <w:p>
      <w:pPr>
        <w:pStyle w:val="Heading3"/>
      </w:pPr>
      <w:r>
        <w:t xml:space="preserve">8.</w:t>
      </w:r>
      <w:r>
        <w:t xml:space="preserve"> </w:t>
      </w:r>
      <w:r>
        <w:rPr>
          <w:b/>
          <w:bCs/>
        </w:rPr>
        <w:t xml:space="preserve">Standards &amp; External References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OpenCRVS Approach</w:t>
      </w:r>
      <w:r>
        <w:t xml:space="preserve">:</w:t>
      </w:r>
      <w:r>
        <w:t xml:space="preserve"> </w:t>
      </w:r>
      <w:r>
        <w:t xml:space="preserve">- FHIR standards documented</w:t>
      </w:r>
      <w:r>
        <w:t xml:space="preserve"> </w:t>
      </w:r>
      <w:r>
        <w:t xml:space="preserve">- References to international frameworks</w:t>
      </w:r>
      <w:r>
        <w:t xml:space="preserve"> </w:t>
      </w:r>
      <w:r>
        <w:t xml:space="preserve">- Interoperability roadmap</w:t>
      </w:r>
    </w:p>
    <w:p>
      <w:pPr>
        <w:pStyle w:val="BodyText"/>
      </w:pPr>
      <w:r>
        <w:rPr>
          <w:b/>
          <w:bCs/>
        </w:rPr>
        <w:t xml:space="preserve">Applied to MOSIP-CRVS IA</w:t>
      </w:r>
      <w:r>
        <w:t xml:space="preserve">:</w:t>
      </w:r>
      <w:r>
        <w:t xml:space="preserve"> </w:t>
      </w:r>
      <w:r>
        <w:t xml:space="preserve">- Section 15.3: References include OpenCRVS, ID4D, FHIR, AU Framework</w:t>
      </w:r>
      <w:r>
        <w:t xml:space="preserve"> </w:t>
      </w:r>
      <w:r>
        <w:t xml:space="preserve">- Section 6.3: Data schemas (inspired by FHIR approach)</w:t>
      </w:r>
      <w:r>
        <w:t xml:space="preserve"> </w:t>
      </w:r>
      <w:r>
        <w:t xml:space="preserve">- Alignment section explicitly calls out OpenCRVS learnings</w:t>
      </w:r>
    </w:p>
    <w:bookmarkEnd w:id="79"/>
    <w:bookmarkStart w:id="80" w:name="X01e484976bdfee927469701ac1e5ddd757273ce"/>
    <w:p>
      <w:pPr>
        <w:pStyle w:val="Heading3"/>
      </w:pPr>
      <w:r>
        <w:t xml:space="preserve">9.</w:t>
      </w:r>
      <w:r>
        <w:t xml:space="preserve"> </w:t>
      </w:r>
      <w:r>
        <w:rPr>
          <w:b/>
          <w:bCs/>
        </w:rPr>
        <w:t xml:space="preserve">National ID Integration as Dedicated Topic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OpenCRVS Approach</w:t>
      </w:r>
      <w:r>
        <w:t xml:space="preserve">:</w:t>
      </w:r>
      <w:r>
        <w:t xml:space="preserve"> </w:t>
      </w:r>
      <w:r>
        <w:t xml:space="preserve">- Separate</w:t>
      </w:r>
      <w:r>
        <w:t xml:space="preserve"> </w:t>
      </w:r>
      <w:r>
        <w:t xml:space="preserve">“National ID Integration”</w:t>
      </w:r>
      <w:r>
        <w:t xml:space="preserve"> </w:t>
      </w:r>
      <w:r>
        <w:t xml:space="preserve">section</w:t>
      </w:r>
      <w:r>
        <w:t xml:space="preserve"> </w:t>
      </w:r>
      <w:r>
        <w:t xml:space="preserve">- MOSIP explicitly mentioned as integration partner</w:t>
      </w:r>
      <w:r>
        <w:t xml:space="preserve"> </w:t>
      </w:r>
      <w:r>
        <w:t xml:space="preserve">- Multiple integration scenarios documented</w:t>
      </w:r>
    </w:p>
    <w:p>
      <w:pPr>
        <w:pStyle w:val="BodyText"/>
      </w:pPr>
      <w:r>
        <w:rPr>
          <w:b/>
          <w:bCs/>
        </w:rPr>
        <w:t xml:space="preserve">Applied to MOSIP-CRVS IA</w:t>
      </w:r>
      <w:r>
        <w:t xml:space="preserve">:</w:t>
      </w:r>
      <w:r>
        <w:t xml:space="preserve"> </w:t>
      </w:r>
      <w:r>
        <w:t xml:space="preserve">- Section 3.3: Identity lifecycle management</w:t>
      </w:r>
      <w:r>
        <w:t xml:space="preserve"> </w:t>
      </w:r>
      <w:r>
        <w:t xml:space="preserve">- Section 4.2: Birth → UIN issuance (parallel to OpenCRVS National ID generation)</w:t>
      </w:r>
      <w:r>
        <w:t xml:space="preserve"> </w:t>
      </w:r>
      <w:r>
        <w:t xml:space="preserve">- Section 4.3: Death → identity status update (parallel to OpenCRVS death notification to ID system)</w:t>
      </w:r>
    </w:p>
    <w:bookmarkEnd w:id="80"/>
    <w:bookmarkStart w:id="81" w:name="offline-support-considerations"/>
    <w:p>
      <w:pPr>
        <w:pStyle w:val="Heading3"/>
      </w:pPr>
      <w:r>
        <w:t xml:space="preserve">10.</w:t>
      </w:r>
      <w:r>
        <w:t xml:space="preserve"> </w:t>
      </w:r>
      <w:r>
        <w:rPr>
          <w:b/>
          <w:bCs/>
        </w:rPr>
        <w:t xml:space="preserve">Offline Support Considerations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OpenCRVS Approach</w:t>
      </w:r>
      <w:r>
        <w:t xml:space="preserve">:</w:t>
      </w:r>
      <w:r>
        <w:t xml:space="preserve"> </w:t>
      </w:r>
      <w:r>
        <w:t xml:space="preserve">- PWA technology, IndexedDB storage</w:t>
      </w:r>
      <w:r>
        <w:t xml:space="preserve"> </w:t>
      </w:r>
      <w:r>
        <w:t xml:space="preserve">- Offline-first architecture explicitly documented</w:t>
      </w:r>
      <w:r>
        <w:t xml:space="preserve"> </w:t>
      </w:r>
      <w:r>
        <w:t xml:space="preserve">- Sync mechanisms detailed</w:t>
      </w:r>
    </w:p>
    <w:p>
      <w:pPr>
        <w:pStyle w:val="BodyText"/>
      </w:pPr>
      <w:r>
        <w:rPr>
          <w:b/>
          <w:bCs/>
        </w:rPr>
        <w:t xml:space="preserve">Applied to MOSIP-CRVS IA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Explicitly called out as out-of-scope</w:t>
      </w:r>
      <w:r>
        <w:t xml:space="preserve"> </w:t>
      </w:r>
      <w:r>
        <w:t xml:space="preserve">(based on SME directive)</w:t>
      </w:r>
      <w:r>
        <w:t xml:space="preserve"> </w:t>
      </w:r>
      <w:r>
        <w:t xml:space="preserve">- Documented in Section 2.4</w:t>
      </w:r>
      <w:r>
        <w:t xml:space="preserve"> </w:t>
      </w:r>
      <w:r>
        <w:t xml:space="preserve">“What’s NOT in Scope”</w:t>
      </w:r>
      <w:r>
        <w:t xml:space="preserve"> </w:t>
      </w:r>
      <w:r>
        <w:t xml:space="preserve">- Rationale:</w:t>
      </w:r>
      <w:r>
        <w:t xml:space="preserve"> </w:t>
      </w:r>
      <w:r>
        <w:t xml:space="preserve">“No support for offline; remove from documentation”</w:t>
      </w:r>
      <w:r>
        <w:t xml:space="preserve"> </w:t>
      </w:r>
      <w:r>
        <w:t xml:space="preserve">(SME)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6" w:name="X1e458c0a457124e519e72ec3df1dfe968887965"/>
    <w:p>
      <w:pPr>
        <w:pStyle w:val="Heading2"/>
      </w:pPr>
      <w:r>
        <w:t xml:space="preserve">What We DIDN’T Copy (Intentional Differences)</w:t>
      </w:r>
    </w:p>
    <w:bookmarkStart w:id="83" w:name="technology-stack-details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Technology Stack Details</w:t>
      </w:r>
    </w:p>
    <w:p>
      <w:pPr>
        <w:pStyle w:val="FirstParagraph"/>
      </w:pPr>
      <w:r>
        <w:rPr>
          <w:b/>
          <w:bCs/>
        </w:rPr>
        <w:t xml:space="preserve">OpenCRVS</w:t>
      </w:r>
      <w:r>
        <w:t xml:space="preserve">: Documents their tech stack (TypeScript, React, Elasticsearch, Docker Swarm)</w:t>
      </w:r>
      <w:r>
        <w:br/>
      </w:r>
      <w:r>
        <w:rPr>
          <w:b/>
          <w:bCs/>
        </w:rPr>
        <w:t xml:space="preserve">MOSIP-CRVS IA</w:t>
      </w:r>
      <w:r>
        <w:t xml:space="preserve">: Focuses on</w:t>
      </w:r>
      <w:r>
        <w:t xml:space="preserve"> </w:t>
      </w:r>
      <w:r>
        <w:rPr>
          <w:b/>
          <w:bCs/>
        </w:rPr>
        <w:t xml:space="preserve">integration interfaces</w:t>
      </w:r>
      <w:r>
        <w:t xml:space="preserve">, not MOSIP internals (deferred to Section 5 for high-level only)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 Integration guide should be technology-agnostic where possible; implementers don’t need MOSIP internal architecture details.</w:t>
      </w:r>
    </w:p>
    <w:bookmarkEnd w:id="83"/>
    <w:bookmarkStart w:id="84" w:name="configuration-ui-documentation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Configuration UI Documentation</w:t>
      </w:r>
    </w:p>
    <w:p>
      <w:pPr>
        <w:pStyle w:val="FirstParagraph"/>
      </w:pPr>
      <w:r>
        <w:rPr>
          <w:b/>
          <w:bCs/>
        </w:rPr>
        <w:t xml:space="preserve">OpenCRVS</w:t>
      </w:r>
      <w:r>
        <w:t xml:space="preserve">: CSV-based configuration and UI for non-technical admins</w:t>
      </w:r>
      <w:r>
        <w:br/>
      </w:r>
      <w:r>
        <w:rPr>
          <w:b/>
          <w:bCs/>
        </w:rPr>
        <w:t xml:space="preserve">MOSIP-CRVS IA</w:t>
      </w:r>
      <w:r>
        <w:t xml:space="preserve">: Configuration via policies (Section 10), but admin UI not in scope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 MOSIP configuration is typically done by technical administrators via API/config files.</w:t>
      </w:r>
    </w:p>
    <w:bookmarkEnd w:id="84"/>
    <w:bookmarkStart w:id="85" w:name="self-service-portal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Self-Service Portal</w:t>
      </w:r>
    </w:p>
    <w:p>
      <w:pPr>
        <w:pStyle w:val="FirstParagraph"/>
      </w:pPr>
      <w:r>
        <w:rPr>
          <w:b/>
          <w:bCs/>
        </w:rPr>
        <w:t xml:space="preserve">OpenCRVS</w:t>
      </w:r>
      <w:r>
        <w:t xml:space="preserve">: Citizen self-service portal planned</w:t>
      </w:r>
      <w:r>
        <w:br/>
      </w:r>
      <w:r>
        <w:rPr>
          <w:b/>
          <w:bCs/>
        </w:rPr>
        <w:t xml:space="preserve">MOSIP-CRVS IA</w:t>
      </w:r>
      <w:r>
        <w:t xml:space="preserve">: Resident portal referenced but not detailed (assumes MOSIP resident services exist)</w:t>
      </w:r>
    </w:p>
    <w:p>
      <w:pPr>
        <w:pStyle w:val="BodyText"/>
      </w:pPr>
      <w:r>
        <w:rPr>
          <w:b/>
          <w:bCs/>
        </w:rPr>
        <w:t xml:space="preserve">Rationale</w:t>
      </w:r>
      <w:r>
        <w:t xml:space="preserve">: Resident portal is MOSIP’s concern, not the integration layer.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X81588c931d4da007ddc702c012af9b7ee8a5008"/>
    <w:p>
      <w:pPr>
        <w:pStyle w:val="Heading2"/>
      </w:pPr>
      <w:r>
        <w:t xml:space="preserve">Specific OpenCRVS Documentation Sections That Influenced the 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346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OpenCRVS Section</w:t>
            </w:r>
          </w:p>
        </w:tc>
        <w:tc>
          <w:tcPr/>
          <w:p>
            <w:pPr>
              <w:pStyle w:val="Compact"/>
            </w:pPr>
            <w:r>
              <w:t xml:space="preserve">MOSIP-CRVS IA Impact</w:t>
            </w:r>
          </w:p>
        </w:tc>
        <w:tc>
          <w:tcPr/>
          <w:p>
            <w:pPr>
              <w:pStyle w:val="Compact"/>
            </w:pPr>
            <w:r>
              <w:t xml:space="preserve">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Interoperability Overview</w:t>
            </w:r>
          </w:p>
        </w:tc>
        <w:tc>
          <w:tcPr/>
          <w:p>
            <w:pPr>
              <w:pStyle w:val="Compact"/>
            </w:pPr>
            <w:r>
              <w:t xml:space="preserve">Section 2.1, 4.1 (Integration patterns)</w:t>
            </w:r>
          </w:p>
        </w:tc>
        <w:tc>
          <w:tcPr/>
          <w:p>
            <w:pPr>
              <w:pStyle w:val="Compact"/>
            </w:pPr>
            <w:r>
              <w:t xml:space="preserve">Core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APIs Requiring OAuth Credentials</w:t>
            </w:r>
          </w:p>
        </w:tc>
        <w:tc>
          <w:tcPr/>
          <w:p>
            <w:pPr>
              <w:pStyle w:val="Compact"/>
            </w:pPr>
            <w:r>
              <w:t xml:space="preserve">Section 7.1 (OAuth client setup)</w:t>
            </w:r>
          </w:p>
        </w:tc>
        <w:tc>
          <w:tcPr/>
          <w:p>
            <w:pPr>
              <w:pStyle w:val="Compact"/>
            </w:pPr>
            <w:r>
              <w:t xml:space="preserve">Security architecture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Authenticate a Client</w:t>
            </w:r>
          </w:p>
        </w:tc>
        <w:tc>
          <w:tcPr/>
          <w:p>
            <w:pPr>
              <w:pStyle w:val="Compact"/>
            </w:pPr>
            <w:r>
              <w:t xml:space="preserve">Section 7.2 (eSignet flow)</w:t>
            </w:r>
          </w:p>
        </w:tc>
        <w:tc>
          <w:tcPr/>
          <w:p>
            <w:pPr>
              <w:pStyle w:val="Compact"/>
            </w:pPr>
            <w:r>
              <w:t xml:space="preserve">Authentication 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Record Search Clients</w:t>
            </w:r>
          </w:p>
        </w:tc>
        <w:tc>
          <w:tcPr/>
          <w:p>
            <w:pPr>
              <w:pStyle w:val="Compact"/>
            </w:pPr>
            <w:r>
              <w:t xml:space="preserve">Section 4 (query patterns)</w:t>
            </w:r>
          </w:p>
        </w:tc>
        <w:tc>
          <w:tcPr/>
          <w:p>
            <w:pPr>
              <w:pStyle w:val="Compact"/>
            </w:pPr>
            <w:r>
              <w:t xml:space="preserve">Integration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Notification Clients</w:t>
            </w:r>
          </w:p>
        </w:tc>
        <w:tc>
          <w:tcPr/>
          <w:p>
            <w:pPr>
              <w:pStyle w:val="Compact"/>
            </w:pPr>
            <w:r>
              <w:t xml:space="preserve">Section 8.3 (WebSub)</w:t>
            </w:r>
          </w:p>
        </w:tc>
        <w:tc>
          <w:tcPr/>
          <w:p>
            <w:pPr>
              <w:pStyle w:val="Compact"/>
            </w:pPr>
            <w:r>
              <w:t xml:space="preserve">Event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Webhook Clients</w:t>
            </w:r>
          </w:p>
        </w:tc>
        <w:tc>
          <w:tcPr/>
          <w:p>
            <w:pPr>
              <w:pStyle w:val="Compact"/>
            </w:pPr>
            <w:r>
              <w:t xml:space="preserve">Section 8.3 (subscription model)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Section 5 (technical architecture)</w:t>
            </w:r>
          </w:p>
        </w:tc>
        <w:tc>
          <w:tcPr/>
          <w:p>
            <w:pPr>
              <w:pStyle w:val="Compact"/>
            </w:pPr>
            <w:r>
              <w:t xml:space="preserve">System design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National ID Integration</w:t>
            </w:r>
          </w:p>
        </w:tc>
        <w:tc>
          <w:tcPr/>
          <w:p>
            <w:pPr>
              <w:pStyle w:val="Compact"/>
            </w:pPr>
            <w:r>
              <w:t xml:space="preserve">Sections 4.2, 4.3 (birth/death flows)</w:t>
            </w:r>
          </w:p>
        </w:tc>
        <w:tc>
          <w:tcPr/>
          <w:p>
            <w:pPr>
              <w:pStyle w:val="Compact"/>
            </w:pPr>
            <w:r>
              <w:t xml:space="preserve">Use case workflows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90" w:name="key-organizational-insight-from-opencrvs"/>
    <w:p>
      <w:pPr>
        <w:pStyle w:val="Heading2"/>
      </w:pPr>
      <w:r>
        <w:t xml:space="preserve">Key Organizational Insight from OpenCRVS</w:t>
      </w:r>
    </w:p>
    <w:p>
      <w:pPr>
        <w:pStyle w:val="FirstParagraph"/>
      </w:pPr>
      <w:r>
        <w:t xml:space="preserve">Their most valuable organizational principle:</w:t>
      </w:r>
    </w:p>
    <w:p>
      <w:pPr>
        <w:pStyle w:val="BlockText"/>
      </w:pPr>
      <w:r>
        <w:rPr>
          <w:b/>
          <w:bCs/>
        </w:rPr>
        <w:t xml:space="preserve">“Organize by integration use case and client type, not by system component”</w:t>
      </w:r>
    </w:p>
    <w:bookmarkStart w:id="88" w:name="why-this-matters"/>
    <w:p>
      <w:pPr>
        <w:pStyle w:val="Heading3"/>
      </w:pPr>
      <w:r>
        <w:t xml:space="preserve">Why This Matters</w:t>
      </w:r>
    </w:p>
    <w:p>
      <w:pPr>
        <w:pStyle w:val="FirstParagraph"/>
      </w:pPr>
      <w:r>
        <w:rPr>
          <w:b/>
          <w:bCs/>
        </w:rPr>
        <w:t xml:space="preserve">Anti-Pattern</w:t>
      </w:r>
      <w:r>
        <w:t xml:space="preserve"> </w:t>
      </w:r>
      <w:r>
        <w:t xml:space="preserve">(Component-Centric):</w:t>
      </w:r>
    </w:p>
    <w:p>
      <w:pPr>
        <w:pStyle w:val="SourceCode"/>
      </w:pPr>
      <w:r>
        <w:rPr>
          <w:rStyle w:val="VerbatimChar"/>
        </w:rPr>
        <w:t xml:space="preserve">- Packet Manager API</w:t>
      </w:r>
      <w:r>
        <w:br/>
      </w:r>
      <w:r>
        <w:rPr>
          <w:rStyle w:val="VerbatimChar"/>
        </w:rPr>
        <w:t xml:space="preserve">- Identity Service API</w:t>
      </w:r>
      <w:r>
        <w:br/>
      </w:r>
      <w:r>
        <w:rPr>
          <w:rStyle w:val="VerbatimChar"/>
        </w:rPr>
        <w:t xml:space="preserve">- Resident Services API</w:t>
      </w:r>
      <w:r>
        <w:br/>
      </w:r>
      <w:r>
        <w:rPr>
          <w:rStyle w:val="VerbatimChar"/>
        </w:rPr>
        <w:t xml:space="preserve">- Kernel Master Data API</w:t>
      </w:r>
    </w:p>
    <w:p>
      <w:pPr>
        <w:pStyle w:val="FirstParagraph"/>
      </w:pPr>
      <w:r>
        <w:rPr>
          <w:b/>
          <w:bCs/>
        </w:rPr>
        <w:t xml:space="preserve">Better Pattern</w:t>
      </w:r>
      <w:r>
        <w:t xml:space="preserve"> </w:t>
      </w:r>
      <w:r>
        <w:t xml:space="preserve">(Use-Case-Centric):</w:t>
      </w:r>
    </w:p>
    <w:p>
      <w:pPr>
        <w:pStyle w:val="SourceCode"/>
      </w:pPr>
      <w:r>
        <w:rPr>
          <w:rStyle w:val="VerbatimChar"/>
        </w:rPr>
        <w:t xml:space="preserve">- Birth Registration Flow</w:t>
      </w:r>
      <w:r>
        <w:br/>
      </w:r>
      <w:r>
        <w:rPr>
          <w:rStyle w:val="VerbatimChar"/>
        </w:rPr>
        <w:t xml:space="preserve">  - APIs used: Packet Manager, Identity Service</w:t>
      </w:r>
      <w:r>
        <w:br/>
      </w:r>
      <w:r>
        <w:rPr>
          <w:rStyle w:val="VerbatimChar"/>
        </w:rPr>
        <w:t xml:space="preserve">- Death Registration Flow</w:t>
      </w:r>
      <w:r>
        <w:br/>
      </w:r>
      <w:r>
        <w:rPr>
          <w:rStyle w:val="VerbatimChar"/>
        </w:rPr>
        <w:t xml:space="preserve">  - APIs used: Packet Manager, Identity Service</w:t>
      </w:r>
      <w:r>
        <w:br/>
      </w:r>
      <w:r>
        <w:rPr>
          <w:rStyle w:val="VerbatimChar"/>
        </w:rPr>
        <w:t xml:space="preserve">- Demographic Updates Flow</w:t>
      </w:r>
      <w:r>
        <w:br/>
      </w:r>
      <w:r>
        <w:rPr>
          <w:rStyle w:val="VerbatimChar"/>
        </w:rPr>
        <w:t xml:space="preserve">  - APIs used: Resident Services, Identity Service</w:t>
      </w:r>
    </w:p>
    <w:bookmarkEnd w:id="88"/>
    <w:bookmarkStart w:id="89" w:name="applied-to-mosip-crvs-ia"/>
    <w:p>
      <w:pPr>
        <w:pStyle w:val="Heading3"/>
      </w:pPr>
      <w:r>
        <w:t xml:space="preserve">Applied to MOSIP-CRVS IA</w:t>
      </w:r>
    </w:p>
    <w:p>
      <w:pPr>
        <w:pStyle w:val="FirstParagraph"/>
      </w:pPr>
      <w:r>
        <w:t xml:space="preserve">Section 4 is organized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4.2 Birth Registration</w:t>
      </w:r>
      <w:r>
        <w:t xml:space="preserve"> </w:t>
      </w:r>
      <w:r>
        <w:t xml:space="preserve">(not</w:t>
      </w:r>
      <w:r>
        <w:t xml:space="preserve"> </w:t>
      </w:r>
      <w:r>
        <w:t xml:space="preserve">“Packet Manager API”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4.3 Death Registration</w:t>
      </w:r>
      <w:r>
        <w:t xml:space="preserve"> </w:t>
      </w:r>
      <w:r>
        <w:t xml:space="preserve">(not</w:t>
      </w:r>
      <w:r>
        <w:t xml:space="preserve"> </w:t>
      </w:r>
      <w:r>
        <w:t xml:space="preserve">“Identity Service”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4.4 Demographic Updates</w:t>
      </w:r>
      <w:r>
        <w:t xml:space="preserve"> </w:t>
      </w:r>
      <w:r>
        <w:t xml:space="preserve">(not</w:t>
      </w:r>
      <w:r>
        <w:t xml:space="preserve"> </w:t>
      </w:r>
      <w:r>
        <w:t xml:space="preserve">“Resident Services”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User Mental Model</w:t>
      </w:r>
      <w:r>
        <w:t xml:space="preserve">:</w:t>
      </w:r>
      <w:r>
        <w:t xml:space="preserve"> </w:t>
      </w:r>
      <w:r>
        <w:t xml:space="preserve">- ✅</w:t>
      </w:r>
      <w:r>
        <w:t xml:space="preserve"> </w:t>
      </w:r>
      <w:r>
        <w:t xml:space="preserve">“How do I register a birth?”</w:t>
      </w:r>
      <w:r>
        <w:t xml:space="preserve"> </w:t>
      </w:r>
      <w:r>
        <w:t xml:space="preserve">- ❌</w:t>
      </w:r>
      <w:r>
        <w:t xml:space="preserve"> </w:t>
      </w:r>
      <w:r>
        <w:t xml:space="preserve">“What does the Packet Manager do?”</w:t>
      </w:r>
    </w:p>
    <w:p>
      <w:pPr>
        <w:pStyle w:val="BodyText"/>
      </w:pPr>
      <w:r>
        <w:t xml:space="preserve">Readers care about accomplishing tasks, not understanding system components.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Xa9bdb43afe6422a839508502eb4ccd9cb593442"/>
    <w:p>
      <w:pPr>
        <w:pStyle w:val="Heading2"/>
      </w:pPr>
      <w:r>
        <w:t xml:space="preserve">Comparative Analysis: OpenCRVS vs MOSIP-CRVS 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80"/>
        <w:gridCol w:w="2970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OpenCRVS</w:t>
            </w:r>
          </w:p>
        </w:tc>
        <w:tc>
          <w:tcPr/>
          <w:p>
            <w:pPr>
              <w:pStyle w:val="Compact"/>
            </w:pPr>
            <w:r>
              <w:t xml:space="preserve">MOSIP-CRVS IA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Why OpenCRVS needed</w:t>
            </w:r>
          </w:p>
        </w:tc>
        <w:tc>
          <w:tcPr/>
          <w:p>
            <w:pPr>
              <w:pStyle w:val="Compact"/>
            </w:pPr>
            <w:r>
              <w:t xml:space="preserve">Why integration needed</w:t>
            </w:r>
          </w:p>
        </w:tc>
        <w:tc>
          <w:tcPr/>
          <w:p>
            <w:pPr>
              <w:pStyle w:val="Compact"/>
            </w:pPr>
            <w:r>
              <w:t xml:space="preserve">✅ Same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Management</w:t>
            </w:r>
          </w:p>
        </w:tc>
        <w:tc>
          <w:tcPr/>
          <w:p>
            <w:pPr>
              <w:pStyle w:val="Compact"/>
            </w:pPr>
            <w:r>
              <w:t xml:space="preserve">Self-service UI</w:t>
            </w:r>
          </w:p>
        </w:tc>
        <w:tc>
          <w:tcPr/>
          <w:p>
            <w:pPr>
              <w:pStyle w:val="Compact"/>
            </w:pPr>
            <w:r>
              <w:t xml:space="preserve">OAuth setup guide</w:t>
            </w:r>
          </w:p>
        </w:tc>
        <w:tc>
          <w:tcPr/>
          <w:p>
            <w:pPr>
              <w:pStyle w:val="Compact"/>
            </w:pPr>
            <w:r>
              <w:t xml:space="preserve">✅ Adapted for MOSIP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Types</w:t>
            </w:r>
          </w:p>
        </w:tc>
        <w:tc>
          <w:tcPr/>
          <w:p>
            <w:pPr>
              <w:pStyle w:val="Compact"/>
            </w:pPr>
            <w:r>
              <w:t xml:space="preserve">3 client types</w:t>
            </w:r>
          </w:p>
        </w:tc>
        <w:tc>
          <w:tcPr/>
          <w:p>
            <w:pPr>
              <w:pStyle w:val="Compact"/>
            </w:pPr>
            <w:r>
              <w:t xml:space="preserve">3 use cases</w:t>
            </w:r>
          </w:p>
        </w:tc>
        <w:tc>
          <w:tcPr/>
          <w:p>
            <w:pPr>
              <w:pStyle w:val="Compact"/>
            </w:pPr>
            <w:r>
              <w:t xml:space="preserve">✅ Similar taxonomy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Prominence</w:t>
            </w:r>
          </w:p>
        </w:tc>
        <w:tc>
          <w:tcPr/>
          <w:p>
            <w:pPr>
              <w:pStyle w:val="Compact"/>
            </w:pPr>
            <w:r>
              <w:t xml:space="preserve">Dedicated section</w:t>
            </w:r>
          </w:p>
        </w:tc>
        <w:tc>
          <w:tcPr/>
          <w:p>
            <w:pPr>
              <w:pStyle w:val="Compact"/>
            </w:pPr>
            <w:r>
              <w:t xml:space="preserve">Section 7 (top-level)</w:t>
            </w:r>
          </w:p>
        </w:tc>
        <w:tc>
          <w:tcPr/>
          <w:p>
            <w:pPr>
              <w:pStyle w:val="Compact"/>
            </w:pPr>
            <w:r>
              <w:t xml:space="preserve">✅ Equal importance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Handling</w:t>
            </w:r>
          </w:p>
        </w:tc>
        <w:tc>
          <w:tcPr/>
          <w:p>
            <w:pPr>
              <w:pStyle w:val="Compact"/>
            </w:pPr>
            <w:r>
              <w:t xml:space="preserve">Webhooks documented</w:t>
            </w:r>
          </w:p>
        </w:tc>
        <w:tc>
          <w:tcPr/>
          <w:p>
            <w:pPr>
              <w:pStyle w:val="Compact"/>
            </w:pPr>
            <w:r>
              <w:t xml:space="preserve">Section 8</w:t>
            </w:r>
          </w:p>
        </w:tc>
        <w:tc>
          <w:tcPr/>
          <w:p>
            <w:pPr>
              <w:pStyle w:val="Compact"/>
            </w:pPr>
            <w:r>
              <w:t xml:space="preserve">✅ Adopted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Offline Support</w:t>
            </w:r>
          </w:p>
        </w:tc>
        <w:tc>
          <w:tcPr/>
          <w:p>
            <w:pPr>
              <w:pStyle w:val="Compact"/>
            </w:pPr>
            <w:r>
              <w:t xml:space="preserve">Detailed PWA docs</w:t>
            </w:r>
          </w:p>
        </w:tc>
        <w:tc>
          <w:tcPr/>
          <w:p>
            <w:pPr>
              <w:pStyle w:val="Compact"/>
            </w:pPr>
            <w:r>
              <w:t xml:space="preserve">Explicitly out-of-scope</w:t>
            </w:r>
          </w:p>
        </w:tc>
        <w:tc>
          <w:tcPr/>
          <w:p>
            <w:pPr>
              <w:pStyle w:val="Compact"/>
            </w:pPr>
            <w:r>
              <w:t xml:space="preserve">⚠️ Different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Standards</w:t>
            </w:r>
          </w:p>
        </w:tc>
        <w:tc>
          <w:tcPr/>
          <w:p>
            <w:pPr>
              <w:pStyle w:val="Compact"/>
            </w:pPr>
            <w:r>
              <w:t xml:space="preserve">FHIR documented</w:t>
            </w:r>
          </w:p>
        </w:tc>
        <w:tc>
          <w:tcPr/>
          <w:p>
            <w:pPr>
              <w:pStyle w:val="Compact"/>
            </w:pPr>
            <w:r>
              <w:t xml:space="preserve">Schema specs planned</w:t>
            </w:r>
          </w:p>
        </w:tc>
        <w:tc>
          <w:tcPr/>
          <w:p>
            <w:pPr>
              <w:pStyle w:val="Compact"/>
            </w:pPr>
            <w:r>
              <w:t xml:space="preserve">✅ Similar approach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 Docs</w:t>
            </w:r>
          </w:p>
        </w:tc>
        <w:tc>
          <w:tcPr/>
          <w:p>
            <w:pPr>
              <w:pStyle w:val="Compact"/>
            </w:pPr>
            <w:r>
              <w:t xml:space="preserve">Kibana, monitoring</w:t>
            </w:r>
          </w:p>
        </w:tc>
        <w:tc>
          <w:tcPr/>
          <w:p>
            <w:pPr>
              <w:pStyle w:val="Compact"/>
            </w:pPr>
            <w:r>
              <w:t xml:space="preserve">Section 11</w:t>
            </w:r>
          </w:p>
        </w:tc>
        <w:tc>
          <w:tcPr/>
          <w:p>
            <w:pPr>
              <w:pStyle w:val="Compact"/>
            </w:pPr>
            <w:r>
              <w:t xml:space="preserve">✅ Adopted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 Stack Details</w:t>
            </w:r>
          </w:p>
        </w:tc>
        <w:tc>
          <w:tcPr/>
          <w:p>
            <w:pPr>
              <w:pStyle w:val="Compact"/>
            </w:pPr>
            <w:r>
              <w:t xml:space="preserve">TypeScript, React</w:t>
            </w:r>
          </w:p>
        </w:tc>
        <w:tc>
          <w:tcPr/>
          <w:p>
            <w:pPr>
              <w:pStyle w:val="Compact"/>
            </w:pPr>
            <w:r>
              <w:t xml:space="preserve">Minimal (interface-only)</w:t>
            </w:r>
          </w:p>
        </w:tc>
        <w:tc>
          <w:tcPr/>
          <w:p>
            <w:pPr>
              <w:pStyle w:val="Compact"/>
            </w:pPr>
            <w:r>
              <w:t xml:space="preserve">📝 Intentional difference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5" w:name="X9279cb05ab484ef2ae7b8899caadb9af2fa2b1d"/>
    <w:p>
      <w:pPr>
        <w:pStyle w:val="Heading2"/>
      </w:pPr>
      <w:r>
        <w:t xml:space="preserve">Lessons Learned from OpenCRVS Documentation Review</w:t>
      </w:r>
    </w:p>
    <w:bookmarkStart w:id="92" w:name="what-worked-well-in-opencrvs-docs"/>
    <w:p>
      <w:pPr>
        <w:pStyle w:val="Heading3"/>
      </w:pPr>
      <w:r>
        <w:t xml:space="preserve">What Worked Well in OpenCRVS Docs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Clear visual hierarchy</w:t>
      </w:r>
      <w:r>
        <w:t xml:space="preserve">: Easy to scan and find relevant sections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Practical examples</w:t>
      </w:r>
      <w:r>
        <w:t xml:space="preserve">: Code snippets and API examples throughout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Warning callouts</w:t>
      </w:r>
      <w:r>
        <w:t xml:space="preserve">: Security implications highlighted prominently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Progressive depth</w:t>
      </w:r>
      <w:r>
        <w:t xml:space="preserve">: Can read surface-level or dive deep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Cross-references</w:t>
      </w:r>
      <w:r>
        <w:t xml:space="preserve">:</w:t>
      </w:r>
      <w:r>
        <w:t xml:space="preserve"> </w:t>
      </w:r>
      <w:r>
        <w:t xml:space="preserve">“See also”</w:t>
      </w:r>
      <w:r>
        <w:t xml:space="preserve"> </w:t>
      </w:r>
      <w:r>
        <w:t xml:space="preserve">links connect related topics</w:t>
      </w:r>
    </w:p>
    <w:bookmarkEnd w:id="92"/>
    <w:bookmarkStart w:id="93" w:name="applied-to-mosip-crvs-ia-1"/>
    <w:p>
      <w:pPr>
        <w:pStyle w:val="Heading3"/>
      </w:pPr>
      <w:r>
        <w:t xml:space="preserve">Applied to MOSIP-CRVS IA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15-section structure</w:t>
      </w:r>
      <w:r>
        <w:t xml:space="preserve"> </w:t>
      </w:r>
      <w:r>
        <w:t xml:space="preserve">with clear numbering (1.1, 1.2, etc.)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Code examples section</w:t>
      </w:r>
      <w:r>
        <w:t xml:space="preserve"> </w:t>
      </w:r>
      <w:r>
        <w:t xml:space="preserve">(Section 13) planned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Warning patterns</w:t>
      </w:r>
      <w:r>
        <w:t xml:space="preserve"> </w:t>
      </w:r>
      <w:r>
        <w:t xml:space="preserve">documented (e.g.,</w:t>
      </w:r>
      <w:r>
        <w:t xml:space="preserve"> </w:t>
      </w:r>
      <w:r>
        <w:t xml:space="preserve">“Why adult updates discouraged”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Progressive disclosure</w:t>
      </w:r>
      <w:r>
        <w:t xml:space="preserve"> </w:t>
      </w:r>
      <w:r>
        <w:t xml:space="preserve">(Sections 1-3 → 4 → 5-7 → 11-14)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Cross-cutting concerns</w:t>
      </w:r>
      <w:r>
        <w:t xml:space="preserve"> </w:t>
      </w:r>
      <w:r>
        <w:t xml:space="preserve">section defining navigation aids</w:t>
      </w:r>
    </w:p>
    <w:bookmarkEnd w:id="93"/>
    <w:bookmarkStart w:id="94" w:name="what-we-improved-upon"/>
    <w:p>
      <w:pPr>
        <w:pStyle w:val="Heading3"/>
      </w:pPr>
      <w:r>
        <w:t xml:space="preserve">What We Improved Upon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Explicit out-of-scope section</w:t>
      </w:r>
      <w:r>
        <w:t xml:space="preserve">: OpenCRVS doesn’t have this; we added Section 2.4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User pathway mapping</w:t>
      </w:r>
      <w:r>
        <w:t xml:space="preserve">: 5 distinct reader journeys defined explicitly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Rationale documentation</w:t>
      </w:r>
      <w:r>
        <w:t xml:space="preserve">: Design decisions log (Appendix in IA)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Phased implementation roadmap</w:t>
      </w:r>
      <w:r>
        <w:t xml:space="preserve">: 5-phase delivery plan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Success metrics</w:t>
      </w:r>
      <w:r>
        <w:t xml:space="preserve">: Measurable outcomes for IA effectiveness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0" w:name="opencrvs-documentation-references"/>
    <w:p>
      <w:pPr>
        <w:pStyle w:val="Heading2"/>
      </w:pPr>
      <w:r>
        <w:t xml:space="preserve">OpenCRVS Documentation References</w:t>
      </w:r>
    </w:p>
    <w:p>
      <w:pPr>
        <w:pStyle w:val="FirstParagraph"/>
      </w:pPr>
      <w:r>
        <w:rPr>
          <w:b/>
          <w:bCs/>
        </w:rPr>
        <w:t xml:space="preserve">URLs Analyzed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hyperlink r:id="rId96">
        <w:r>
          <w:rPr>
            <w:rStyle w:val="Hyperlink"/>
          </w:rPr>
          <w:t xml:space="preserve">OpenCRVS Documentation Home</w:t>
        </w:r>
      </w:hyperlink>
      <w:r>
        <w:t xml:space="preserve"> </w:t>
      </w:r>
      <w:r>
        <w:t xml:space="preserve">-</w:t>
      </w:r>
      <w:r>
        <w:t xml:space="preserve"> </w:t>
      </w:r>
      <w:hyperlink r:id="rId97">
        <w:r>
          <w:rPr>
            <w:rStyle w:val="Hyperlink"/>
          </w:rPr>
          <w:t xml:space="preserve">Interoperability</w:t>
        </w:r>
      </w:hyperlink>
      <w:r>
        <w:t xml:space="preserve"> </w:t>
      </w:r>
      <w:r>
        <w:t xml:space="preserve">-</w:t>
      </w:r>
      <w:r>
        <w:t xml:space="preserve"> </w:t>
      </w:r>
      <w:hyperlink r:id="rId98">
        <w:r>
          <w:rPr>
            <w:rStyle w:val="Hyperlink"/>
          </w:rPr>
          <w:t xml:space="preserve">APIs requiring OAuth credentials</w:t>
        </w:r>
      </w:hyperlink>
      <w:r>
        <w:t xml:space="preserve"> </w:t>
      </w:r>
      <w:r>
        <w:t xml:space="preserve">-</w:t>
      </w:r>
      <w:r>
        <w:t xml:space="preserve"> </w:t>
      </w:r>
      <w:hyperlink r:id="rId99">
        <w:r>
          <w:rPr>
            <w:rStyle w:val="Hyperlink"/>
          </w:rPr>
          <w:t xml:space="preserve">Architecture</w:t>
        </w:r>
      </w:hyperlink>
    </w:p>
    <w:p>
      <w:pPr>
        <w:pStyle w:val="BodyText"/>
      </w:pPr>
      <w:r>
        <w:rPr>
          <w:b/>
          <w:bCs/>
        </w:rPr>
        <w:t xml:space="preserve">Analysis Date</w:t>
      </w:r>
      <w:r>
        <w:t xml:space="preserve">: 21 January 2026</w:t>
      </w:r>
    </w:p>
    <w:p>
      <w:r>
        <w:pict>
          <v:rect style="width:0;height:1.5pt" o:hralign="center" o:hrstd="t" o:hr="t"/>
        </w:pict>
      </w:r>
    </w:p>
    <w:bookmarkEnd w:id="100"/>
    <w:bookmarkStart w:id="104" w:name="X3165b5423fbad3ee912cbdf1b7d3aed7d465155"/>
    <w:p>
      <w:pPr>
        <w:pStyle w:val="Heading2"/>
      </w:pPr>
      <w:r>
        <w:t xml:space="preserve">Synthesis: Combining OpenCRVS Learnings with SME Inputs</w:t>
      </w:r>
    </w:p>
    <w:bookmarkStart w:id="101" w:name="three-way-validation"/>
    <w:p>
      <w:pPr>
        <w:pStyle w:val="Heading3"/>
      </w:pPr>
      <w:r>
        <w:t xml:space="preserve">Three-Way Validation</w:t>
      </w:r>
    </w:p>
    <w:p>
      <w:pPr>
        <w:pStyle w:val="FirstParagraph"/>
      </w:pPr>
      <w:r>
        <w:t xml:space="preserve">The final IA represents a synthesis of: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OpenCRVS Best Practices</w:t>
      </w:r>
      <w:r>
        <w:t xml:space="preserve"> </w:t>
      </w:r>
      <w:r>
        <w:t xml:space="preserve">(industry benchmark)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SME Technical Requirements</w:t>
      </w:r>
      <w:r>
        <w:t xml:space="preserve"> </w:t>
      </w:r>
      <w:r>
        <w:t xml:space="preserve">(MOSIP-specific constraints)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Gap Analysis Findings</w:t>
      </w:r>
      <w:r>
        <w:t xml:space="preserve"> </w:t>
      </w:r>
      <w:r>
        <w:t xml:space="preserve">(current documentation weaknesses)</w:t>
      </w:r>
    </w:p>
    <w:bookmarkEnd w:id="101"/>
    <w:bookmarkStart w:id="102" w:name="example-oauth-client-management"/>
    <w:p>
      <w:pPr>
        <w:pStyle w:val="Heading3"/>
      </w:pPr>
      <w:r>
        <w:t xml:space="preserve">Example: OAuth Client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OpenCRVS</w:t>
            </w:r>
          </w:p>
        </w:tc>
        <w:tc>
          <w:tcPr/>
          <w:p>
            <w:pPr>
              <w:pStyle w:val="Compact"/>
            </w:pPr>
            <w:r>
              <w:t xml:space="preserve">Self-service client creation UI pattern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SME Input</w:t>
            </w:r>
          </w:p>
        </w:tc>
        <w:tc>
          <w:tcPr/>
          <w:p>
            <w:pPr>
              <w:pStyle w:val="Compact"/>
            </w:pPr>
            <w:r>
              <w:t xml:space="preserve">eSignet authentication for parent/informant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 Analysis</w:t>
            </w:r>
          </w:p>
        </w:tc>
        <w:tc>
          <w:tcPr/>
          <w:p>
            <w:pPr>
              <w:pStyle w:val="Compact"/>
            </w:pPr>
            <w:r>
              <w:t xml:space="preserve">No authentication flow documented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IA</w:t>
            </w:r>
          </w:p>
        </w:tc>
        <w:tc>
          <w:tcPr/>
          <w:p>
            <w:pPr>
              <w:pStyle w:val="Compact"/>
            </w:pPr>
            <w:r>
              <w:t xml:space="preserve">Section 7.1 (OAuth2 client setup) + Section 7.2 (eSignet flow)</w:t>
            </w:r>
          </w:p>
        </w:tc>
      </w:tr>
    </w:tbl>
    <w:bookmarkEnd w:id="102"/>
    <w:bookmarkStart w:id="103" w:name="example-notification-architecture"/>
    <w:p>
      <w:pPr>
        <w:pStyle w:val="Heading3"/>
      </w:pPr>
      <w:r>
        <w:t xml:space="preserve">Example: Notification Architecture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Contribution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OpenCRVS</w:t>
            </w:r>
          </w:p>
        </w:tc>
        <w:tc>
          <w:tcPr/>
          <w:p>
            <w:pPr>
              <w:pStyle w:val="Compact"/>
            </w:pPr>
            <w:r>
              <w:t xml:space="preserve">Webhook subscription model for external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SME Input</w:t>
            </w:r>
          </w:p>
        </w:tc>
        <w:tc>
          <w:tcPr/>
          <w:p>
            <w:pPr>
              <w:pStyle w:val="Compact"/>
            </w:pPr>
            <w:r>
              <w:t xml:space="preserve">“Notification back to CRVS is NOT default”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 Analysis</w:t>
            </w:r>
          </w:p>
        </w:tc>
        <w:tc>
          <w:tcPr/>
          <w:p>
            <w:pPr>
              <w:pStyle w:val="Compact"/>
            </w:pPr>
            <w:r>
              <w:t xml:space="preserve">Confusion about who receives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IA</w:t>
            </w:r>
          </w:p>
        </w:tc>
        <w:tc>
          <w:tcPr/>
          <w:p>
            <w:pPr>
              <w:pStyle w:val="Compact"/>
            </w:pPr>
            <w:r>
              <w:t xml:space="preserve">Section 8 separating Default (8.2) vs Optional (8.3)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3"/>
    <w:bookmarkEnd w:id="104"/>
    <w:bookmarkStart w:id="108" w:name="recommendations-for-future-ia-iterations"/>
    <w:p>
      <w:pPr>
        <w:pStyle w:val="Heading2"/>
      </w:pPr>
      <w:r>
        <w:t xml:space="preserve">Recommendations for Future IA Iterations</w:t>
      </w:r>
    </w:p>
    <w:p>
      <w:pPr>
        <w:pStyle w:val="FirstParagraph"/>
      </w:pPr>
      <w:r>
        <w:t xml:space="preserve">Based on OpenCRVS documentation evolution:</w:t>
      </w:r>
    </w:p>
    <w:bookmarkStart w:id="105" w:name="short-term-next-6-months"/>
    <w:p>
      <w:pPr>
        <w:pStyle w:val="Heading3"/>
      </w:pPr>
      <w:r>
        <w:t xml:space="preserve">Short-Term (Next 6 Months)</w:t>
      </w:r>
    </w:p>
    <w:p>
      <w:pPr>
        <w:pStyle w:val="Compact"/>
        <w:numPr>
          <w:ilvl w:val="0"/>
          <w:numId w:val="1023"/>
        </w:numPr>
      </w:pPr>
      <w:r>
        <w:t xml:space="preserve">Add interactive API playground (like OpenCRVS has)</w:t>
      </w:r>
    </w:p>
    <w:p>
      <w:pPr>
        <w:pStyle w:val="Compact"/>
        <w:numPr>
          <w:ilvl w:val="0"/>
          <w:numId w:val="1023"/>
        </w:numPr>
      </w:pPr>
      <w:r>
        <w:t xml:space="preserve">Create video walkthroughs for key workflows</w:t>
      </w:r>
    </w:p>
    <w:p>
      <w:pPr>
        <w:pStyle w:val="Compact"/>
        <w:numPr>
          <w:ilvl w:val="0"/>
          <w:numId w:val="1023"/>
        </w:numPr>
      </w:pPr>
      <w:r>
        <w:t xml:space="preserve">Develop FAQ based on actual user questions</w:t>
      </w:r>
    </w:p>
    <w:p>
      <w:pPr>
        <w:pStyle w:val="Compact"/>
        <w:numPr>
          <w:ilvl w:val="0"/>
          <w:numId w:val="1023"/>
        </w:numPr>
      </w:pPr>
      <w:r>
        <w:t xml:space="preserve">Add</w:t>
      </w:r>
      <w:r>
        <w:t xml:space="preserve"> </w:t>
      </w:r>
      <w:r>
        <w:t xml:space="preserve">“Getting Started in 5 Minutes”</w:t>
      </w:r>
      <w:r>
        <w:t xml:space="preserve"> </w:t>
      </w:r>
      <w:r>
        <w:t xml:space="preserve">quick guide</w:t>
      </w:r>
    </w:p>
    <w:bookmarkEnd w:id="105"/>
    <w:bookmarkStart w:id="106" w:name="medium-term-6-12-months"/>
    <w:p>
      <w:pPr>
        <w:pStyle w:val="Heading3"/>
      </w:pPr>
      <w:r>
        <w:t xml:space="preserve">Medium-Term (6-12 Months)</w:t>
      </w:r>
    </w:p>
    <w:p>
      <w:pPr>
        <w:pStyle w:val="Compact"/>
        <w:numPr>
          <w:ilvl w:val="0"/>
          <w:numId w:val="1024"/>
        </w:numPr>
      </w:pPr>
      <w:r>
        <w:t xml:space="preserve">Implement content tagging for faceted search</w:t>
      </w:r>
    </w:p>
    <w:p>
      <w:pPr>
        <w:pStyle w:val="Compact"/>
        <w:numPr>
          <w:ilvl w:val="0"/>
          <w:numId w:val="1024"/>
        </w:numPr>
      </w:pPr>
      <w:r>
        <w:t xml:space="preserve">Add</w:t>
      </w:r>
      <w:r>
        <w:t xml:space="preserve"> </w:t>
      </w:r>
      <w:r>
        <w:t xml:space="preserve">“Related topics”</w:t>
      </w:r>
      <w:r>
        <w:t xml:space="preserve"> </w:t>
      </w:r>
      <w:r>
        <w:t xml:space="preserve">sidebar in each section</w:t>
      </w:r>
    </w:p>
    <w:p>
      <w:pPr>
        <w:pStyle w:val="Compact"/>
        <w:numPr>
          <w:ilvl w:val="0"/>
          <w:numId w:val="1024"/>
        </w:numPr>
      </w:pPr>
      <w:r>
        <w:t xml:space="preserve">Create printable PDF versions by audience (architect, developer, operator)</w:t>
      </w:r>
    </w:p>
    <w:p>
      <w:pPr>
        <w:pStyle w:val="Compact"/>
        <w:numPr>
          <w:ilvl w:val="0"/>
          <w:numId w:val="1024"/>
        </w:numPr>
      </w:pPr>
      <w:r>
        <w:t xml:space="preserve">Develop troubleshooting decision tree</w:t>
      </w:r>
    </w:p>
    <w:bookmarkEnd w:id="106"/>
    <w:bookmarkStart w:id="107" w:name="long-term-12-months"/>
    <w:p>
      <w:pPr>
        <w:pStyle w:val="Heading3"/>
      </w:pPr>
      <w:r>
        <w:t xml:space="preserve">Long-Term (12+ Months)</w:t>
      </w:r>
    </w:p>
    <w:p>
      <w:pPr>
        <w:pStyle w:val="Compact"/>
        <w:numPr>
          <w:ilvl w:val="0"/>
          <w:numId w:val="1025"/>
        </w:numPr>
      </w:pPr>
      <w:r>
        <w:t xml:space="preserve">Consider interactive configuration wizard</w:t>
      </w:r>
    </w:p>
    <w:p>
      <w:pPr>
        <w:pStyle w:val="Compact"/>
        <w:numPr>
          <w:ilvl w:val="0"/>
          <w:numId w:val="1025"/>
        </w:numPr>
      </w:pPr>
      <w:r>
        <w:t xml:space="preserve">Build integration health dashboard</w:t>
      </w:r>
    </w:p>
    <w:p>
      <w:pPr>
        <w:pStyle w:val="Compact"/>
        <w:numPr>
          <w:ilvl w:val="0"/>
          <w:numId w:val="1025"/>
        </w:numPr>
      </w:pPr>
      <w:r>
        <w:t xml:space="preserve">Create community-contributed examples repository</w:t>
      </w:r>
    </w:p>
    <w:p>
      <w:pPr>
        <w:pStyle w:val="Compact"/>
        <w:numPr>
          <w:ilvl w:val="0"/>
          <w:numId w:val="1025"/>
        </w:numPr>
      </w:pPr>
      <w:r>
        <w:t xml:space="preserve">Implement versioned documentation (like OpenCRVS’s version selector)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OpenCRVS documentation served as a</w:t>
      </w:r>
      <w:r>
        <w:t xml:space="preserve"> </w:t>
      </w:r>
      <w:r>
        <w:rPr>
          <w:b/>
          <w:bCs/>
        </w:rPr>
        <w:t xml:space="preserve">benchmark for best practices</w:t>
      </w:r>
      <w:r>
        <w:t xml:space="preserve"> </w:t>
      </w:r>
      <w:r>
        <w:t xml:space="preserve">in CRVS-related integration documentation. Key takeaways: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Use-case-centric organization</w:t>
      </w:r>
      <w:r>
        <w:t xml:space="preserve"> </w:t>
      </w:r>
      <w:r>
        <w:t xml:space="preserve">beats component-centric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Security documentation</w:t>
      </w:r>
      <w:r>
        <w:t xml:space="preserve"> </w:t>
      </w:r>
      <w:r>
        <w:t xml:space="preserve">must be prominent, not an afterthought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Progressive disclosure</w:t>
      </w:r>
      <w:r>
        <w:t xml:space="preserve"> </w:t>
      </w:r>
      <w:r>
        <w:t xml:space="preserve">serves diverse audience needs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Explicit boundaries</w:t>
      </w:r>
      <w:r>
        <w:t xml:space="preserve"> </w:t>
      </w:r>
      <w:r>
        <w:t xml:space="preserve">(default vs optional) prevent confusion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Operational concerns</w:t>
      </w:r>
      <w:r>
        <w:t xml:space="preserve"> </w:t>
      </w:r>
      <w:r>
        <w:t xml:space="preserve">deserve first-class treatment</w:t>
      </w:r>
    </w:p>
    <w:p>
      <w:pPr>
        <w:pStyle w:val="FirstParagraph"/>
      </w:pPr>
      <w:r>
        <w:t xml:space="preserve">By combining OpenCRVS patterns with MOSIP-specific SME inputs and gap analysis findings, we created a tailored IA that:</w:t>
      </w:r>
      <w:r>
        <w:t xml:space="preserve"> </w:t>
      </w:r>
      <w:r>
        <w:t xml:space="preserve">- Addresses all identified gaps</w:t>
      </w:r>
      <w:r>
        <w:t xml:space="preserve"> </w:t>
      </w:r>
      <w:r>
        <w:t xml:space="preserve">- Follows industry best practices</w:t>
      </w:r>
      <w:r>
        <w:t xml:space="preserve"> </w:t>
      </w:r>
      <w:r>
        <w:t xml:space="preserve">- Aligns with MOSIP technical constraints</w:t>
      </w:r>
      <w:r>
        <w:t xml:space="preserve"> </w:t>
      </w:r>
      <w:r>
        <w:t xml:space="preserve">- Serves multiple user personas effectively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Appendix Last Updated</w:t>
      </w:r>
      <w:r>
        <w:t xml:space="preserve">: 22 January 2026</w:t>
      </w:r>
      <w:r>
        <w:br/>
      </w:r>
      <w:r>
        <w:rPr>
          <w:b/>
          <w:bCs/>
        </w:rPr>
        <w:t xml:space="preserve">Analysis Performed By</w:t>
      </w:r>
      <w:r>
        <w:t xml:space="preserve">: Senior Information Architect</w:t>
      </w:r>
      <w:r>
        <w:br/>
      </w:r>
      <w:r>
        <w:rPr>
          <w:b/>
          <w:bCs/>
        </w:rPr>
        <w:t xml:space="preserve">Review Status</w:t>
      </w:r>
      <w:r>
        <w:t xml:space="preserve">: Approved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Information Architecture Document</w:t>
      </w:r>
    </w:p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6" Target="https://documentation.opencrvs.org/" TargetMode="External" /><Relationship Type="http://schemas.openxmlformats.org/officeDocument/2006/relationships/hyperlink" Id="rId99" Target="https://documentation.opencrvs.org/technology/architecture" TargetMode="External" /><Relationship Type="http://schemas.openxmlformats.org/officeDocument/2006/relationships/hyperlink" Id="rId97" Target="https://documentation.opencrvs.org/technology/interoperability" TargetMode="External" /><Relationship Type="http://schemas.openxmlformats.org/officeDocument/2006/relationships/hyperlink" Id="rId98" Target="https://documentation.opencrvs.org/technology/interoperability/apis-requiring-oauth-credenti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documentation.opencrvs.org/" TargetMode="External" /><Relationship Type="http://schemas.openxmlformats.org/officeDocument/2006/relationships/hyperlink" Id="rId99" Target="https://documentation.opencrvs.org/technology/architecture" TargetMode="External" /><Relationship Type="http://schemas.openxmlformats.org/officeDocument/2006/relationships/hyperlink" Id="rId97" Target="https://documentation.opencrvs.org/technology/interoperability" TargetMode="External" /><Relationship Type="http://schemas.openxmlformats.org/officeDocument/2006/relationships/hyperlink" Id="rId98" Target="https://documentation.opencrvs.org/technology/interoperability/apis-requiring-oauth-credenti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2026-01-23T03:38:31Z</dcterms:created>
  <dcterms:modified xsi:type="dcterms:W3CDTF">2026-01-23T03:38:31Z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