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X0eae1c3ec30f7990dae8a33c11edafe30778b6c"/>
      <w:r>
        <w:t xml:space="preserve">MANUAL DE PROCEDIMENTOS ADMINISTRATIVOS E FINANCEIROS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ção"/>
      <w:r>
        <w:t xml:space="preserve">1. INTRODUÇÃO</w:t>
      </w:r>
      <w:bookmarkEnd w:id="22"/>
    </w:p>
    <w:p>
      <w:pPr>
        <w:pStyle w:val="Heading3"/>
      </w:pPr>
      <w:bookmarkStart w:id="23" w:name="objetivo"/>
      <w:r>
        <w:t xml:space="preserve">1.1. Objetivo</w:t>
      </w:r>
      <w:bookmarkEnd w:id="23"/>
    </w:p>
    <w:p>
      <w:pPr>
        <w:pStyle w:val="FirstParagraph"/>
      </w:pPr>
      <w:r>
        <w:t xml:space="preserve">O presente Manual de Procedimentos Administrativos e Financeiros tem como objetivo estabelecer e padronizar as rotinas e os processos essenciais para a gestão diária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. Visa garantir a eficiência, o rigor, a transparência e a conformidade legal em todas as operações administrativas e financeiras.</w:t>
      </w:r>
    </w:p>
    <w:p>
      <w:pPr>
        <w:pStyle w:val="Heading3"/>
      </w:pPr>
      <w:bookmarkStart w:id="24" w:name="âmbito"/>
      <w:r>
        <w:t xml:space="preserve">1.2. Âmbito</w:t>
      </w:r>
      <w:bookmarkEnd w:id="24"/>
    </w:p>
    <w:p>
      <w:pPr>
        <w:pStyle w:val="FirstParagraph"/>
      </w:pPr>
      <w:r>
        <w:t xml:space="preserve">Este manual aplica-se a todos os titulares de órgãos sociais, colaboradores e voluntários com responsabilidades administrativas e financeiras. Serve como um guia prático para a execução de tarefas como a gestão de associados, o processamento de receitas e despesas, a gestão de tesouraria e a preparação de relatórios.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cedimentos-administrativos"/>
      <w:r>
        <w:t xml:space="preserve">2. PROCEDIMENTOS ADMINISTRATIVOS</w:t>
      </w:r>
      <w:bookmarkEnd w:id="25"/>
    </w:p>
    <w:p>
      <w:pPr>
        <w:pStyle w:val="Heading3"/>
      </w:pPr>
      <w:bookmarkStart w:id="26" w:name="gestão-de-associados"/>
      <w:r>
        <w:t xml:space="preserve">2.1. Gestão de Associados</w:t>
      </w:r>
      <w:bookmarkEnd w:id="26"/>
    </w:p>
    <w:p>
      <w:pPr>
        <w:pStyle w:val="FirstParagraph"/>
      </w:pPr>
      <w:r>
        <w:rPr>
          <w:b/>
        </w:rPr>
        <w:t xml:space="preserve">a) Processo de Admissão:</w:t>
      </w:r>
      <w:r>
        <w:t xml:space="preserve"> </w:t>
      </w:r>
      <w:r>
        <w:t xml:space="preserve">1. Receção da</w:t>
      </w:r>
      <w:r>
        <w:t xml:space="preserve"> </w:t>
      </w:r>
      <w:r>
        <w:rPr>
          <w:b/>
        </w:rPr>
        <w:t xml:space="preserve">Ficha de Candidatura a Associado</w:t>
      </w:r>
      <w:r>
        <w:t xml:space="preserve"> </w:t>
      </w:r>
      <w:r>
        <w:t xml:space="preserve">e do</w:t>
      </w:r>
      <w:r>
        <w:t xml:space="preserve"> </w:t>
      </w:r>
      <w:r>
        <w:rPr>
          <w:b/>
        </w:rPr>
        <w:t xml:space="preserve">Termo de Adesão</w:t>
      </w:r>
      <w:r>
        <w:t xml:space="preserve"> </w:t>
      </w:r>
      <w:r>
        <w:t xml:space="preserve">devidamente preenchidos e assinados.</w:t>
      </w:r>
      <w:r>
        <w:t xml:space="preserve"> </w:t>
      </w:r>
      <w:r>
        <w:t xml:space="preserve">2. Verificação da conformidade dos documentos pela Secretaria.</w:t>
      </w:r>
      <w:r>
        <w:t xml:space="preserve"> </w:t>
      </w:r>
      <w:r>
        <w:t xml:space="preserve">3. Apresentação da candidatura à Direção para aprovação na reunião seguinte.</w:t>
      </w:r>
      <w:r>
        <w:t xml:space="preserve"> </w:t>
      </w:r>
      <w:r>
        <w:t xml:space="preserve">4. Após aprovação, registo do novo associado na base de dados (software a definir), com atribuição do número de associado.</w:t>
      </w:r>
      <w:r>
        <w:t xml:space="preserve"> </w:t>
      </w:r>
      <w:r>
        <w:t xml:space="preserve">5. Envio de um email de boas-vindas ao novo associado, contendo o</w:t>
      </w:r>
      <w:r>
        <w:t xml:space="preserve"> </w:t>
      </w:r>
      <w:r>
        <w:rPr>
          <w:b/>
        </w:rPr>
        <w:t xml:space="preserve">Manual do Associado</w:t>
      </w:r>
      <w:r>
        <w:t xml:space="preserve"> </w:t>
      </w:r>
      <w:r>
        <w:t xml:space="preserve">e a informação para pagamento da primeira quota.</w:t>
      </w:r>
    </w:p>
    <w:p>
      <w:pPr>
        <w:pStyle w:val="BodyText"/>
      </w:pPr>
      <w:r>
        <w:rPr>
          <w:b/>
        </w:rPr>
        <w:t xml:space="preserve">b) Gestão de Quotas:</w:t>
      </w:r>
      <w:r>
        <w:t xml:space="preserve"> </w:t>
      </w:r>
      <w:r>
        <w:t xml:space="preserve">1. No início de cada mês, a Tesouraria emite os avisos de cobrança de quotas (mensais ou anuais).</w:t>
      </w:r>
      <w:r>
        <w:t xml:space="preserve"> </w:t>
      </w:r>
      <w:r>
        <w:t xml:space="preserve">2. Os pagamentos são registados na base de dados de associados e no software de contabilidade.</w:t>
      </w:r>
      <w:r>
        <w:t xml:space="preserve"> </w:t>
      </w:r>
      <w:r>
        <w:t xml:space="preserve">3. A cada trimestre, a Tesouraria envia um lembrete de pagamento aos associados com quotas em atraso.</w:t>
      </w:r>
      <w:r>
        <w:t xml:space="preserve"> </w:t>
      </w:r>
      <w:r>
        <w:t xml:space="preserve">4. Associados com mais de 6 meses de quotas em atraso são notificados pela Direção para regularização, sob pena de suspensão dos direitos, conforme os Estatutos.</w:t>
      </w:r>
    </w:p>
    <w:p>
      <w:pPr>
        <w:pStyle w:val="BodyText"/>
      </w:pPr>
      <w:r>
        <w:rPr>
          <w:b/>
        </w:rPr>
        <w:t xml:space="preserve">c) Atualização de Dados:</w:t>
      </w:r>
      <w:r>
        <w:t xml:space="preserve"> </w:t>
      </w:r>
      <w:r>
        <w:t xml:space="preserve">1. Qualquer alteração de dados (morada, email, etc.) deve ser comunicada pelo associado à Secretaria.</w:t>
      </w:r>
      <w:r>
        <w:t xml:space="preserve"> </w:t>
      </w:r>
      <w:r>
        <w:t xml:space="preserve">2. A Secretaria é responsável por manter a base de dados de associados sempre atualizada.</w:t>
      </w:r>
    </w:p>
    <w:p>
      <w:pPr>
        <w:pStyle w:val="Heading3"/>
      </w:pPr>
      <w:bookmarkStart w:id="27" w:name="gestão-de-correspondência"/>
      <w:r>
        <w:t xml:space="preserve">2.2. Gestão de Correspondência</w:t>
      </w:r>
      <w:bookmarkEnd w:id="27"/>
    </w:p>
    <w:p>
      <w:pPr>
        <w:pStyle w:val="FirstParagraph"/>
      </w:pPr>
      <w:r>
        <w:rPr>
          <w:b/>
        </w:rPr>
        <w:t xml:space="preserve">a) Correspondência Recebida (Email e Correio Físico):</w:t>
      </w:r>
      <w:r>
        <w:t xml:space="preserve"> </w:t>
      </w:r>
      <w:r>
        <w:t xml:space="preserve">1. Toda a correspondência é centralizada na Secretaria.</w:t>
      </w:r>
      <w:r>
        <w:t xml:space="preserve"> </w:t>
      </w:r>
      <w:r>
        <w:t xml:space="preserve">2. A Secretaria abre, tria e regista a correspondência num livro de registos (ou software).</w:t>
      </w:r>
      <w:r>
        <w:t xml:space="preserve"> </w:t>
      </w:r>
      <w:r>
        <w:t xml:space="preserve">3. A correspondência é encaminhada para o destinatário ou para o membro da Direção responsável pelo assunto.</w:t>
      </w:r>
      <w:r>
        <w:t xml:space="preserve"> </w:t>
      </w:r>
      <w:r>
        <w:t xml:space="preserve">4. Faturas e outros documentos financeiros são imediatamente encaminhados para a Tesouraria.</w:t>
      </w:r>
    </w:p>
    <w:p>
      <w:pPr>
        <w:pStyle w:val="BodyText"/>
      </w:pPr>
      <w:r>
        <w:rPr>
          <w:b/>
        </w:rPr>
        <w:t xml:space="preserve">b) Correspondência Expedida:</w:t>
      </w:r>
      <w:r>
        <w:t xml:space="preserve"> </w:t>
      </w:r>
      <w:r>
        <w:t xml:space="preserve">1. Toda a correspondência oficial em nome do Instituto deve ser revista e aprovada por um membro da Direção.</w:t>
      </w:r>
      <w:r>
        <w:t xml:space="preserve"> </w:t>
      </w:r>
      <w:r>
        <w:t xml:space="preserve">2. A Secretaria é responsável pelo envio e pelo arquivo de uma cópia de toda a correspondência expedida.</w:t>
      </w:r>
    </w:p>
    <w:p>
      <w:pPr>
        <w:pStyle w:val="Heading3"/>
      </w:pPr>
      <w:bookmarkStart w:id="28" w:name="arquivo-de-documentos"/>
      <w:r>
        <w:t xml:space="preserve">2.3. Arquivo de Documentos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O Instituto mantém um sistema de arquivo organizado, tanto físico como digital.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Arquivo Digital:</w:t>
      </w:r>
      <w:r>
        <w:t xml:space="preserve"> </w:t>
      </w:r>
      <w:r>
        <w:t xml:space="preserve">Utilização de uma estrutura de pastas padronizada num serviço de cloud (a definir), com backups regulares.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Arquivo Físico:</w:t>
      </w:r>
      <w:r>
        <w:t xml:space="preserve"> </w:t>
      </w:r>
      <w:r>
        <w:t xml:space="preserve">Organizado em dossiers devidamente identificados por categorias (Atas, Contratos, Contabilidade, etc.) e por ano.</w:t>
      </w:r>
    </w:p>
    <w:p>
      <w:pPr>
        <w:numPr>
          <w:ilvl w:val="0"/>
          <w:numId w:val="1001"/>
        </w:numPr>
        <w:pStyle w:val="Compact"/>
      </w:pPr>
      <w:r>
        <w:t xml:space="preserve">A responsabilidade pela gestão do arquivo é da Secretaria, sob supervisão da Direção.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cedimentos-financeiros"/>
      <w:r>
        <w:t xml:space="preserve">3. PROCEDIMENTOS FINANCEIROS</w:t>
      </w:r>
      <w:bookmarkEnd w:id="29"/>
    </w:p>
    <w:p>
      <w:pPr>
        <w:pStyle w:val="Heading3"/>
      </w:pPr>
      <w:bookmarkStart w:id="30" w:name="gestão-de-receitas"/>
      <w:r>
        <w:t xml:space="preserve">3.1. Gestão de Receitas</w:t>
      </w:r>
      <w:bookmarkEnd w:id="30"/>
    </w:p>
    <w:p>
      <w:pPr>
        <w:pStyle w:val="FirstParagraph"/>
      </w:pPr>
      <w:r>
        <w:rPr>
          <w:b/>
        </w:rPr>
        <w:t xml:space="preserve">a) Fontes de Receita:</w:t>
      </w:r>
      <w:r>
        <w:t xml:space="preserve"> </w:t>
      </w:r>
      <w:r>
        <w:t xml:space="preserve">Quotas, donativos, patrocínios, financiamentos de projetos, receitas de serviços.</w:t>
      </w:r>
    </w:p>
    <w:p>
      <w:pPr>
        <w:pStyle w:val="BodyText"/>
      </w:pPr>
      <w:r>
        <w:rPr>
          <w:b/>
        </w:rPr>
        <w:t xml:space="preserve">b) Procedimento:</w:t>
      </w:r>
      <w:r>
        <w:t xml:space="preserve"> </w:t>
      </w:r>
      <w:r>
        <w:t xml:space="preserve">1. Todas as receitas devem ser depositadas na conta bancária do Instituto no prazo máximo de 48 horas após a sua receção.</w:t>
      </w:r>
      <w:r>
        <w:t xml:space="preserve"> </w:t>
      </w:r>
      <w:r>
        <w:t xml:space="preserve">2. Para cada receita, deve ser emitido o respetivo documento contabilístico (recibo de quota, recibo de donativo, fatura-recibo).</w:t>
      </w:r>
      <w:r>
        <w:t xml:space="preserve"> </w:t>
      </w:r>
      <w:r>
        <w:t xml:space="preserve">3. A Tesouraria é responsável por registar todas as receitas no software de contabilidade, classificando-as por tipo e por projeto (se aplicável).</w:t>
      </w:r>
      <w:r>
        <w:t xml:space="preserve"> </w:t>
      </w:r>
      <w:r>
        <w:t xml:space="preserve">4. Os donativos em numerário só são aceites em circunstâncias excecionais e devem ser imediatamente registados e depositados.</w:t>
      </w:r>
    </w:p>
    <w:p>
      <w:pPr>
        <w:pStyle w:val="Heading3"/>
      </w:pPr>
      <w:bookmarkStart w:id="31" w:name="gestão-de-despesas"/>
      <w:r>
        <w:t xml:space="preserve">3.2. Gestão de Despesas</w:t>
      </w:r>
      <w:bookmarkEnd w:id="31"/>
    </w:p>
    <w:p>
      <w:pPr>
        <w:pStyle w:val="FirstParagraph"/>
      </w:pPr>
      <w:r>
        <w:rPr>
          <w:b/>
        </w:rPr>
        <w:t xml:space="preserve">a) Autorização:</w:t>
      </w:r>
      <w:r>
        <w:t xml:space="preserve"> </w:t>
      </w:r>
      <w:r>
        <w:t xml:space="preserve">1. Todas as despesas devem ser previamente autorizadas, de acordo com os níveis de aprovação definidos na</w:t>
      </w:r>
      <w:r>
        <w:t xml:space="preserve"> </w:t>
      </w:r>
      <w:r>
        <w:rPr>
          <w:b/>
        </w:rPr>
        <w:t xml:space="preserve">Política de Compras e Contratações</w:t>
      </w:r>
      <w:r>
        <w:t xml:space="preserve">.</w:t>
      </w:r>
      <w:r>
        <w:t xml:space="preserve"> </w:t>
      </w:r>
      <w:r>
        <w:t xml:space="preserve">2. As despesas de representação e de deslocação dos membros dos órgãos sociais devem ser justificadas com a apresentação dos respetivos comprovativos.</w:t>
      </w:r>
    </w:p>
    <w:p>
      <w:pPr>
        <w:pStyle w:val="BodyText"/>
      </w:pPr>
      <w:r>
        <w:rPr>
          <w:b/>
        </w:rPr>
        <w:t xml:space="preserve">b) Pagamento:</w:t>
      </w:r>
      <w:r>
        <w:t xml:space="preserve"> </w:t>
      </w:r>
      <w:r>
        <w:t xml:space="preserve">1. Os pagamentos devem ser efetuados, preferencialmente, por transferência bancária.</w:t>
      </w:r>
      <w:r>
        <w:t xml:space="preserve"> </w:t>
      </w:r>
      <w:r>
        <w:t xml:space="preserve">2. Os pagamentos requerem a assinatura (ou autorização digital) de</w:t>
      </w:r>
      <w:r>
        <w:t xml:space="preserve"> </w:t>
      </w:r>
      <w:r>
        <w:rPr>
          <w:b/>
        </w:rPr>
        <w:t xml:space="preserve">dois membros da Direção</w:t>
      </w:r>
      <w:r>
        <w:t xml:space="preserve">, sendo um deles, obrigatoriamente, o Tesoureiro ou o Presidente.</w:t>
      </w:r>
      <w:r>
        <w:t xml:space="preserve"> </w:t>
      </w:r>
      <w:r>
        <w:t xml:space="preserve">3. Antes de efetuar qualquer pagamento, a Tesouraria deve verificar a conformidade da fatura (dados do Instituto, descrição, valor) e a respetiva autorização de despesa.</w:t>
      </w:r>
    </w:p>
    <w:p>
      <w:pPr>
        <w:pStyle w:val="BodyText"/>
      </w:pPr>
      <w:r>
        <w:rPr>
          <w:b/>
        </w:rPr>
        <w:t xml:space="preserve">c) Registo:</w:t>
      </w:r>
      <w:r>
        <w:t xml:space="preserve"> </w:t>
      </w:r>
      <w:r>
        <w:t xml:space="preserve">1. Todas as despesas devem ser registadas no software de contabilidade, acompanhadas do respetivo documento de suporte (fatura, recibo).</w:t>
      </w:r>
      <w:r>
        <w:t xml:space="preserve"> </w:t>
      </w:r>
      <w:r>
        <w:t xml:space="preserve">2. As despesas devem ser classificadas por tipo e, sempre que possível, alocadas a um projeto específico para controlo orçamental.</w:t>
      </w:r>
    </w:p>
    <w:p>
      <w:pPr>
        <w:pStyle w:val="Heading3"/>
      </w:pPr>
      <w:bookmarkStart w:id="32" w:name="gestão-de-tesouraria"/>
      <w:r>
        <w:t xml:space="preserve">3.3. Gestão de Tesouraria</w:t>
      </w:r>
      <w:bookmarkEnd w:id="32"/>
    </w:p>
    <w:p>
      <w:pPr>
        <w:pStyle w:val="FirstParagraph"/>
      </w:pPr>
      <w:r>
        <w:rPr>
          <w:b/>
        </w:rPr>
        <w:t xml:space="preserve">a) Contas Bancárias:</w:t>
      </w:r>
      <w:r>
        <w:t xml:space="preserve"> </w:t>
      </w:r>
      <w:r>
        <w:t xml:space="preserve">1. O Instituto possui uma ou mais contas bancárias, cuja movimentação é da responsabilidade da Direção.</w:t>
      </w:r>
      <w:r>
        <w:t xml:space="preserve"> </w:t>
      </w:r>
      <w:r>
        <w:t xml:space="preserve">2. A Tesouraria realiza a reconciliação bancária</w:t>
      </w:r>
      <w:r>
        <w:t xml:space="preserve"> </w:t>
      </w:r>
      <w:r>
        <w:rPr>
          <w:b/>
        </w:rPr>
        <w:t xml:space="preserve">mensalmente</w:t>
      </w:r>
      <w:r>
        <w:t xml:space="preserve">, comparando os extratos bancários com os registos contabilísticos.</w:t>
      </w:r>
    </w:p>
    <w:p>
      <w:pPr>
        <w:pStyle w:val="BodyText"/>
      </w:pPr>
      <w:r>
        <w:rPr>
          <w:b/>
        </w:rPr>
        <w:t xml:space="preserve">b) Fundo de Maneio (Caixa):</w:t>
      </w:r>
      <w:r>
        <w:t xml:space="preserve"> </w:t>
      </w:r>
      <w:r>
        <w:t xml:space="preserve">1. O Instituto pode dispor de um pequeno fundo de maneio em numerário para pequenas despesas urgentes, com um valor máximo de</w:t>
      </w:r>
      <w:r>
        <w:t xml:space="preserve"> </w:t>
      </w:r>
      <w:r>
        <w:rPr>
          <w:b/>
        </w:rPr>
        <w:t xml:space="preserve">200,00 €</w:t>
      </w:r>
      <w:r>
        <w:t xml:space="preserve">.</w:t>
      </w:r>
      <w:r>
        <w:t xml:space="preserve"> </w:t>
      </w:r>
      <w:r>
        <w:t xml:space="preserve">2. A responsabilidade pelo fundo de maneio é do Tesoureiro.</w:t>
      </w:r>
      <w:r>
        <w:t xml:space="preserve"> </w:t>
      </w:r>
      <w:r>
        <w:t xml:space="preserve">3. Todas as saídas de caixa devem ser justificadas com um recibo ou vale de caixa devidamente assinado.</w:t>
      </w:r>
      <w:r>
        <w:t xml:space="preserve"> </w:t>
      </w:r>
      <w:r>
        <w:t xml:space="preserve">4. O fundo de maneio é reposto periodicamente, mediante a apresentação dos justificativos das despesas.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ntabilidade-e-reporting"/>
      <w:r>
        <w:t xml:space="preserve">4. CONTABILIDADE E REPORTING</w:t>
      </w:r>
      <w:bookmarkEnd w:id="33"/>
    </w:p>
    <w:p>
      <w:pPr>
        <w:pStyle w:val="Heading3"/>
      </w:pPr>
      <w:bookmarkStart w:id="34" w:name="contabilidade"/>
      <w:r>
        <w:t xml:space="preserve">4.1. Contabilidade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A contabilidade do Instituto é organizada e executada por um Contabilista Certificado (CC) externo, contratado pelo Instituto.</w:t>
      </w:r>
    </w:p>
    <w:p>
      <w:pPr>
        <w:numPr>
          <w:ilvl w:val="0"/>
          <w:numId w:val="1002"/>
        </w:numPr>
        <w:pStyle w:val="Compact"/>
      </w:pPr>
      <w:r>
        <w:t xml:space="preserve">A Tesouraria é responsável por fornecer ao CC, mensalmente, todos os documentos relativos a receitas e despesas.</w:t>
      </w:r>
    </w:p>
    <w:p>
      <w:pPr>
        <w:numPr>
          <w:ilvl w:val="0"/>
          <w:numId w:val="1002"/>
        </w:numPr>
        <w:pStyle w:val="Compact"/>
      </w:pPr>
      <w:r>
        <w:t xml:space="preserve">O Instituto adota o regime de contabilidade que for legalmente aplicável às IPSS.</w:t>
      </w:r>
    </w:p>
    <w:p>
      <w:pPr>
        <w:pStyle w:val="Heading3"/>
      </w:pPr>
      <w:bookmarkStart w:id="35" w:name="reporting-financeiro"/>
      <w:r>
        <w:t xml:space="preserve">4.2. Reporting Financeiro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Relatório Mensal de Tesouraria:</w:t>
      </w:r>
      <w:r>
        <w:t xml:space="preserve"> </w:t>
      </w:r>
      <w:r>
        <w:t xml:space="preserve">A Tesouraria prepara um relatório mensal simples para a Direção, com o resumo dos movimentos de caixa e bancos e o ponto de situação das quotas.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Relatório Trimestral de Execução Orçamental:</w:t>
      </w:r>
      <w:r>
        <w:t xml:space="preserve"> </w:t>
      </w:r>
      <w:r>
        <w:t xml:space="preserve">A Direção, com o apoio do CC, prepara um relatório trimestral que compara as receitas e despesas reais com os valores orçamentados, analisando os desvios. Este relatório é apresentado ao Conselho Fiscal.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Relatório de Atividades e Contas Anual:</w:t>
      </w:r>
      <w:r>
        <w:t xml:space="preserve"> </w:t>
      </w:r>
      <w:r>
        <w:t xml:space="preserve">A Direção é responsável pela elaboração do Relatório de Atividades e Contas do exercício, que inclui o balanço, a demonstração de resultados e o anexo, nos termos da lei. Este documento é submetido à apreciação do Conselho Fiscal e à aprovação da Assembleia Geral.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isposições-finais"/>
      <w:r>
        <w:t xml:space="preserve">5. DISPOSIÇÕES FINAIS</w:t>
      </w:r>
      <w:bookmarkEnd w:id="36"/>
    </w:p>
    <w:p>
      <w:pPr>
        <w:pStyle w:val="FirstParagraph"/>
      </w:pPr>
      <w:r>
        <w:t xml:space="preserve">5.1. Este manual é um documento dinâmico e será revisto e atualizado pela Direção sempre que se justifique, nomeadamente em resultado de alterações legais ou da implementação de novos sistemas de informação.</w:t>
      </w:r>
    </w:p>
    <w:p>
      <w:pPr>
        <w:pStyle w:val="BodyText"/>
      </w:pPr>
      <w:r>
        <w:t xml:space="preserve">5.2. Todos os utilizadores deste manual devem participar em ações de formação sobre os procedimentos aqui descritos.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