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i/>
        </w:rPr>
        <w:t xml:space="preserve">[Proposta para aprovação da Direção]</w:t>
      </w:r>
    </w:p>
    <w:p>
      <w:pPr>
        <w:pStyle w:val="Heading1"/>
      </w:pPr>
      <w:bookmarkStart w:id="20" w:name="plano-de-captação-de-recursos-2026"/>
      <w:r>
        <w:t xml:space="preserve">PLANO DE CAPTAÇÃO DE RECURSOS 2026</w:t>
      </w:r>
      <w:bookmarkEnd w:id="20"/>
    </w:p>
    <w:p>
      <w:pPr>
        <w:pStyle w:val="Heading2"/>
      </w:pPr>
      <w:bookmarkStart w:id="21" w:name="Xea46dff1232b827c9230acb5dd2a736b431edd1"/>
      <w:r>
        <w:t xml:space="preserve">INSTITUTO PORTUGUÊS DE NEGÓCIOS SOCIAIS – BUREAU SOCIAL</w:t>
      </w:r>
      <w:bookmarkEnd w:id="21"/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2" w:name="introdução"/>
      <w:r>
        <w:t xml:space="preserve">1. INTRODUÇÃO</w:t>
      </w:r>
      <w:bookmarkEnd w:id="22"/>
    </w:p>
    <w:p>
      <w:pPr>
        <w:pStyle w:val="FirstParagraph"/>
      </w:pPr>
      <w:r>
        <w:t xml:space="preserve">Este Plano de Captação de Recursos (Fundraising) define as estratégias, metas e ações que o</w:t>
      </w:r>
      <w:r>
        <w:t xml:space="preserve"> </w:t>
      </w:r>
      <w:r>
        <w:rPr>
          <w:b/>
        </w:rPr>
        <w:t xml:space="preserve">Instituto Português de Negócios Sociais – Bureau Social</w:t>
      </w:r>
      <w:r>
        <w:t xml:space="preserve"> </w:t>
      </w:r>
      <w:r>
        <w:t xml:space="preserve">irá implementar para assegurar a sua sustentabilidade financeira e o crescimento do seu impacto durante o ano de 2026.</w:t>
      </w:r>
    </w:p>
    <w:p>
      <w:pPr>
        <w:pStyle w:val="BodyText"/>
      </w:pPr>
      <w:r>
        <w:t xml:space="preserve">Alinhado com o Plano de Atividades e o Orçamento para 2026, este documento vai além da cobertura das despesas operacionais iniciais, focando-se na construção de uma base financeira sólida que permita ao Instituto escalar os seus projetos-piloto, aumentar a sua capacidade de resposta e garantir a sua viabilidade a médio e longo prazo.</w:t>
      </w:r>
    </w:p>
    <w:p>
      <w:pPr>
        <w:pStyle w:val="Heading3"/>
      </w:pPr>
      <w:bookmarkStart w:id="23" w:name="metas-financeiras-para-2026"/>
      <w:r>
        <w:t xml:space="preserve">2. METAS FINANCEIRAS PARA 2026</w:t>
      </w:r>
      <w:bookmarkEnd w:id="23"/>
    </w:p>
    <w:p>
      <w:pPr>
        <w:pStyle w:val="FirstParagraph"/>
      </w:pPr>
      <w:r>
        <w:t xml:space="preserve">Embora o orçamento preveja um pequeno superavit com base nas receitas iniciais, a nossa ambição é maior. Para garantir um crescimento acelerado e a contratação de recursos humanos essenciais em 2026, estabelecemos uma meta de captação de recursos adicional.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Meta de Captação Total para 2026:</w:t>
      </w:r>
      <w:r>
        <w:t xml:space="preserve"> </w:t>
      </w:r>
      <w:r>
        <w:rPr>
          <w:b/>
        </w:rPr>
        <w:t xml:space="preserve">30.000,00 €</w:t>
      </w:r>
    </w:p>
    <w:p>
      <w:pPr>
        <w:pStyle w:val="FirstParagraph"/>
      </w:pPr>
      <w:r>
        <w:t xml:space="preserve">Este valor será alocado da seguinte forma:</w:t>
      </w:r>
      <w:r>
        <w:t xml:space="preserve"> </w:t>
      </w:r>
      <w:r>
        <w:t xml:space="preserve">*</w:t>
      </w:r>
      <w:r>
        <w:t xml:space="preserve"> </w:t>
      </w:r>
      <w:r>
        <w:rPr>
          <w:b/>
        </w:rPr>
        <w:t xml:space="preserve">Fundo de Escalamento de Projetos (15.000 €):</w:t>
      </w:r>
      <w:r>
        <w:t xml:space="preserve"> </w:t>
      </w:r>
      <w:r>
        <w:t xml:space="preserve">Para expandir o alcance e o impacto dos projetos-piloto de Habitação Social e Empreendedorismo Social.</w:t>
      </w:r>
      <w:r>
        <w:t xml:space="preserve"> </w:t>
      </w:r>
      <w:r>
        <w:t xml:space="preserve">*</w:t>
      </w:r>
      <w:r>
        <w:t xml:space="preserve"> </w:t>
      </w:r>
      <w:r>
        <w:rPr>
          <w:b/>
        </w:rPr>
        <w:t xml:space="preserve">Fundo de Estruturação (10.000 €):</w:t>
      </w:r>
      <w:r>
        <w:t xml:space="preserve"> </w:t>
      </w:r>
      <w:r>
        <w:t xml:space="preserve">Para a contratação do primeiro colaborador(a) a tempo parcial (Gestor de Projetos/Comunidade) no segundo semestre de 2026.</w:t>
      </w:r>
      <w:r>
        <w:t xml:space="preserve"> </w:t>
      </w:r>
      <w:r>
        <w:t xml:space="preserve">*</w:t>
      </w:r>
      <w:r>
        <w:t xml:space="preserve"> </w:t>
      </w:r>
      <w:r>
        <w:rPr>
          <w:b/>
        </w:rPr>
        <w:t xml:space="preserve">Fundo de Reserva Estratégica (5.000 €):</w:t>
      </w:r>
      <w:r>
        <w:t xml:space="preserve"> </w:t>
      </w:r>
      <w:r>
        <w:t xml:space="preserve">Para garantir a liquidez e a capacidade de resposta a oportunidades inesperadas.</w:t>
      </w:r>
    </w:p>
    <w:p>
      <w:pPr>
        <w:pStyle w:val="Heading3"/>
      </w:pPr>
      <w:bookmarkStart w:id="24" w:name="fontes-de-financiamento-e-estratégias"/>
      <w:r>
        <w:t xml:space="preserve">3. FONTES DE FINANCIAMENTO E ESTRATÉGIAS</w:t>
      </w:r>
      <w:bookmarkEnd w:id="24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Fonte de Financiamento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Meta 2026 (€)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Estratégia Principal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Ações Chave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1. Associados</w:t>
            </w:r>
          </w:p>
        </w:tc>
        <w:tc>
          <w:p>
            <w:pPr>
              <w:pStyle w:val="Compact"/>
              <w:jc w:val="left"/>
            </w:pPr>
            <w:r>
              <w:t xml:space="preserve">5.000 €</w:t>
            </w:r>
          </w:p>
        </w:tc>
        <w:tc>
          <w:p>
            <w:pPr>
              <w:pStyle w:val="Compact"/>
              <w:jc w:val="left"/>
            </w:pPr>
            <w:r>
              <w:t xml:space="preserve">Campanha de angariação e criação de uma comunidade forte.</w:t>
            </w:r>
          </w:p>
        </w:tc>
        <w:tc>
          <w:p>
            <w:pPr>
              <w:pStyle w:val="Compact"/>
              <w:jc w:val="left"/>
            </w:pPr>
            <w:r>
              <w:t xml:space="preserve">Lançar a campanha</w:t>
            </w:r>
            <w:r>
              <w:t xml:space="preserve"> </w:t>
            </w:r>
            <w:r>
              <w:t xml:space="preserve">“</w:t>
            </w:r>
            <w:r>
              <w:t xml:space="preserve">50 Fundadores do Futuro</w:t>
            </w:r>
            <w:r>
              <w:t xml:space="preserve">”</w:t>
            </w:r>
            <w:r>
              <w:t xml:space="preserve">; criar eventos exclusivos para associados.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2. Donativos Individuais</w:t>
            </w:r>
          </w:p>
        </w:tc>
        <w:tc>
          <w:p>
            <w:pPr>
              <w:pStyle w:val="Compact"/>
              <w:jc w:val="left"/>
            </w:pPr>
            <w:r>
              <w:t xml:space="preserve">5.000 €</w:t>
            </w:r>
          </w:p>
        </w:tc>
        <w:tc>
          <w:p>
            <w:pPr>
              <w:pStyle w:val="Compact"/>
              <w:jc w:val="left"/>
            </w:pPr>
            <w:r>
              <w:t xml:space="preserve">Campanhas de doação e implementação de um programa de doadores recorrentes.</w:t>
            </w:r>
          </w:p>
        </w:tc>
        <w:tc>
          <w:p>
            <w:pPr>
              <w:pStyle w:val="Compact"/>
              <w:jc w:val="left"/>
            </w:pPr>
            <w:r>
              <w:t xml:space="preserve">Lançar campanha de Natal 2026; implementar sistema de doação online (MB Way, Débito Direto).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3. Parcerias Empresariais</w:t>
            </w:r>
          </w:p>
        </w:tc>
        <w:tc>
          <w:p>
            <w:pPr>
              <w:pStyle w:val="Compact"/>
              <w:jc w:val="left"/>
            </w:pPr>
            <w:r>
              <w:t xml:space="preserve">10.000 €</w:t>
            </w:r>
          </w:p>
        </w:tc>
        <w:tc>
          <w:p>
            <w:pPr>
              <w:pStyle w:val="Compact"/>
              <w:jc w:val="left"/>
            </w:pPr>
            <w:r>
              <w:t xml:space="preserve">Programa de Patrocínio ESG para empresas alinhadas com a nossa missão.</w:t>
            </w:r>
          </w:p>
        </w:tc>
        <w:tc>
          <w:p>
            <w:pPr>
              <w:pStyle w:val="Compact"/>
              <w:jc w:val="left"/>
            </w:pPr>
            <w:r>
              <w:t xml:space="preserve">Criar pacotes de patrocínio (Bronze, Prata, Ouro); identificar e contactar 20 empresas-alvo.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4. Financiamento Público</w:t>
            </w:r>
          </w:p>
        </w:tc>
        <w:tc>
          <w:p>
            <w:pPr>
              <w:pStyle w:val="Compact"/>
              <w:jc w:val="left"/>
            </w:pPr>
            <w:r>
              <w:t xml:space="preserve">10.000 €</w:t>
            </w:r>
          </w:p>
        </w:tc>
        <w:tc>
          <w:p>
            <w:pPr>
              <w:pStyle w:val="Compact"/>
              <w:jc w:val="left"/>
            </w:pPr>
            <w:r>
              <w:t xml:space="preserve">Candidaturas a programas de financiamento nacionais e europeus.</w:t>
            </w:r>
          </w:p>
        </w:tc>
        <w:tc>
          <w:p>
            <w:pPr>
              <w:pStyle w:val="Compact"/>
              <w:jc w:val="left"/>
            </w:pPr>
            <w:r>
              <w:t xml:space="preserve">Submeter 3+ candidaturas (Portugal 2030, PRR, EEA Grants); estabelecer parcerias para reforçar as candidaturas.</w:t>
            </w:r>
          </w:p>
        </w:tc>
      </w:tr>
    </w:tbl>
    <w:p>
      <w:pPr>
        <w:pStyle w:val="Heading3"/>
      </w:pPr>
      <w:bookmarkStart w:id="25" w:name="cronograma-de-ações-gantt"/>
      <w:r>
        <w:t xml:space="preserve">4. CRONOGRAMA DE AÇÕES (GANTT)</w:t>
      </w:r>
      <w:bookmarkEnd w:id="2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Ação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T4 2026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T1 2026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T2 2026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T3 2026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T4 2026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Campanha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“</w:t>
            </w:r>
            <w:r>
              <w:rPr>
                <w:b/>
              </w:rPr>
              <w:t xml:space="preserve">50 Fundadores</w:t>
            </w:r>
            <w:r>
              <w:rPr>
                <w:b/>
              </w:rPr>
              <w:t xml:space="preserve">”</w:t>
            </w:r>
          </w:p>
        </w:tc>
        <w:tc>
          <w:p>
            <w:pPr>
              <w:pStyle w:val="Compact"/>
              <w:jc w:val="center"/>
            </w:pPr>
            <w:r>
              <w:t xml:space="preserve">█████</w:t>
            </w:r>
          </w:p>
        </w:tc>
        <w:tc>
          <w:p>
            <w:pPr>
              <w:pStyle w:val="Compact"/>
              <w:jc w:val="center"/>
            </w:pPr>
            <w:r>
              <w:t xml:space="preserve">███</w:t>
            </w:r>
          </w:p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Lançar Doações Online</w:t>
            </w:r>
          </w:p>
        </w:tc>
        <w:tc>
          <w:p>
            <w:pPr>
              <w:pStyle w:val="Compact"/>
              <w:jc w:val="center"/>
            </w:pPr>
            <w:r>
              <w:t xml:space="preserve">█████</w:t>
            </w:r>
          </w:p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Criar Pacotes de Patrocínio</w:t>
            </w:r>
          </w:p>
        </w:tc>
        <w:tc>
          <w:p>
            <w:pPr>
              <w:pStyle w:val="Compact"/>
              <w:jc w:val="center"/>
            </w:pPr>
            <w:r>
              <w:t xml:space="preserve">█████</w:t>
            </w:r>
          </w:p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Identificar Empresas-Alvo</w:t>
            </w:r>
          </w:p>
        </w:tc>
        <w:tc>
          <w:p/>
        </w:tc>
        <w:tc>
          <w:p>
            <w:pPr>
              <w:pStyle w:val="Compact"/>
              <w:jc w:val="center"/>
            </w:pPr>
            <w:r>
              <w:t xml:space="preserve">█████</w:t>
            </w:r>
          </w:p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Primeiros Contactos a Empresas</w:t>
            </w:r>
          </w:p>
        </w:tc>
        <w:tc>
          <w:p/>
        </w:tc>
        <w:tc>
          <w:p>
            <w:pPr>
              <w:pStyle w:val="Compact"/>
              <w:jc w:val="center"/>
            </w:pPr>
            <w:r>
              <w:t xml:space="preserve">█████</w:t>
            </w:r>
          </w:p>
        </w:tc>
        <w:tc>
          <w:p>
            <w:pPr>
              <w:pStyle w:val="Compact"/>
              <w:jc w:val="center"/>
            </w:pPr>
            <w:r>
              <w:t xml:space="preserve">███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Mapear Editais de Financiamento</w:t>
            </w:r>
          </w:p>
        </w:tc>
        <w:tc>
          <w:p>
            <w:pPr>
              <w:pStyle w:val="Compact"/>
              <w:jc w:val="center"/>
            </w:pPr>
            <w:r>
              <w:t xml:space="preserve">█████</w:t>
            </w:r>
          </w:p>
        </w:tc>
        <w:tc>
          <w:p>
            <w:pPr>
              <w:pStyle w:val="Compact"/>
              <w:jc w:val="center"/>
            </w:pPr>
            <w:r>
              <w:t xml:space="preserve">███</w:t>
            </w:r>
          </w:p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Submeter 1ª Candidatura</w:t>
            </w:r>
          </w:p>
        </w:tc>
        <w:tc>
          <w:p/>
        </w:tc>
        <w:tc>
          <w:p/>
        </w:tc>
        <w:tc>
          <w:p>
            <w:pPr>
              <w:pStyle w:val="Compact"/>
              <w:jc w:val="center"/>
            </w:pPr>
            <w:r>
              <w:t xml:space="preserve">█████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Campanha de Natal 2026</w:t>
            </w:r>
          </w:p>
        </w:tc>
        <w:tc>
          <w:p/>
        </w:tc>
        <w:tc>
          <w:p/>
        </w:tc>
        <w:tc>
          <w:p/>
        </w:tc>
        <w:tc>
          <w:p/>
        </w:tc>
        <w:tc>
          <w:p>
            <w:pPr>
              <w:pStyle w:val="Compact"/>
              <w:jc w:val="center"/>
            </w:pPr>
            <w:r>
              <w:t xml:space="preserve">█████</w:t>
            </w:r>
          </w:p>
        </w:tc>
      </w:tr>
    </w:tbl>
    <w:p>
      <w:pPr>
        <w:pStyle w:val="Heading3"/>
      </w:pPr>
      <w:bookmarkStart w:id="26" w:name="recursos-necessários"/>
      <w:r>
        <w:t xml:space="preserve">5. RECURSOS NECESSÁRIOS</w:t>
      </w:r>
      <w:bookmarkEnd w:id="26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Humanos:</w:t>
      </w:r>
      <w:r>
        <w:t xml:space="preserve"> </w:t>
      </w:r>
      <w:r>
        <w:t xml:space="preserve">A captação de recursos será liderada pela Direção, com um foco particular do Presidente e do Tesoureiro. O sucesso deste plano reforçará a necessidade de contratar um profissional com experiência em fundraising.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Materiais:</w:t>
      </w:r>
      <w:r>
        <w:t xml:space="preserve"> </w:t>
      </w:r>
      <w:r>
        <w:t xml:space="preserve">Será necessário desenvolver materiais de comunicação de alta qualidade, como a Apresentação Institucional e o One Pager, para apoiar as abordagens a parceiros e financiadores.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Tecnológicos:</w:t>
      </w:r>
      <w:r>
        <w:t xml:space="preserve"> </w:t>
      </w:r>
      <w:r>
        <w:t xml:space="preserve">Implementação de um sistema de CRM (Customer Relationship Management) simples para gerir contactos e de uma plataforma para doações online.</w:t>
      </w:r>
    </w:p>
    <w:p>
      <w:pPr>
        <w:pStyle w:val="Heading3"/>
      </w:pPr>
      <w:bookmarkStart w:id="27" w:name="indicadores-de-sucesso-kpis"/>
      <w:r>
        <w:t xml:space="preserve">6. INDICADORES DE SUCESSO (KPIs)</w:t>
      </w:r>
      <w:bookmarkEnd w:id="27"/>
    </w:p>
    <w:p>
      <w:pPr>
        <w:pStyle w:val="FirstParagraph"/>
      </w:pPr>
      <w:r>
        <w:t xml:space="preserve">O sucesso deste plano será medido através dos seguintes indicadores: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Financeiros:</w:t>
      </w:r>
    </w:p>
    <w:p>
      <w:pPr>
        <w:numPr>
          <w:ilvl w:val="1"/>
          <w:numId w:val="1004"/>
        </w:numPr>
        <w:pStyle w:val="Compact"/>
      </w:pPr>
      <w:r>
        <w:t xml:space="preserve">Valor total angariado vs. Meta (€ 30.000).</w:t>
      </w:r>
    </w:p>
    <w:p>
      <w:pPr>
        <w:numPr>
          <w:ilvl w:val="1"/>
          <w:numId w:val="1004"/>
        </w:numPr>
        <w:pStyle w:val="Compact"/>
      </w:pPr>
      <w:r>
        <w:t xml:space="preserve">Número de doadores recorrentes (Meta: 25).</w:t>
      </w:r>
    </w:p>
    <w:p>
      <w:pPr>
        <w:numPr>
          <w:ilvl w:val="1"/>
          <w:numId w:val="1004"/>
        </w:numPr>
        <w:pStyle w:val="Compact"/>
      </w:pPr>
      <w:r>
        <w:t xml:space="preserve">Número de patrocinadores empresariais (Meta: 3).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Operacionais:</w:t>
      </w:r>
    </w:p>
    <w:p>
      <w:pPr>
        <w:numPr>
          <w:ilvl w:val="1"/>
          <w:numId w:val="1005"/>
        </w:numPr>
        <w:pStyle w:val="Compact"/>
      </w:pPr>
      <w:r>
        <w:t xml:space="preserve">Número de candidaturas a financiamento submetidas (Meta: 3).</w:t>
      </w:r>
    </w:p>
    <w:p>
      <w:pPr>
        <w:numPr>
          <w:ilvl w:val="1"/>
          <w:numId w:val="1005"/>
        </w:numPr>
        <w:pStyle w:val="Compact"/>
      </w:pPr>
      <w:r>
        <w:t xml:space="preserve">Taxa de sucesso das candidaturas.</w:t>
      </w:r>
    </w:p>
    <w:p>
      <w:pPr>
        <w:numPr>
          <w:ilvl w:val="1"/>
          <w:numId w:val="1005"/>
        </w:numPr>
        <w:pStyle w:val="Compact"/>
      </w:pPr>
      <w:r>
        <w:t xml:space="preserve">Número de reuniões realizadas com potenciais financiadores (Meta: 20).</w:t>
      </w:r>
    </w:p>
    <w:p>
      <w:pPr>
        <w:pStyle w:val="Heading3"/>
      </w:pPr>
      <w:bookmarkStart w:id="28" w:name="conclusão"/>
      <w:r>
        <w:t xml:space="preserve">7. CONCLUSÃO</w:t>
      </w:r>
      <w:bookmarkEnd w:id="28"/>
    </w:p>
    <w:p>
      <w:pPr>
        <w:pStyle w:val="FirstParagraph"/>
      </w:pPr>
      <w:r>
        <w:t xml:space="preserve">Este plano é ambicioso, mas realista. A sua execução bem-sucedida não só garantirá a saúde financeira do Instituto no seu primeiro ano, mas também criará as bases para um crescimento sustentado e um impacto social cada vez maior nos anos vindouros. O compromisso da Direção e o envolvimento de toda a comunidade de associados serão cruciais para alcançarmos estas metas.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A Direção,</w:t>
      </w:r>
    </w:p>
    <w:p>
      <w:pPr>
        <w:pStyle w:val="BodyText"/>
      </w:pPr>
      <w:r>
        <w:t xml:space="preserve">Lisboa, 21 de outubro de 2026.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(António, Presidente)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(Marcos, Secretário)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(Diego, Tesoureiro)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2025-10-11T20:09:25Z</dcterms:created>
  <dcterms:modified xsi:type="dcterms:W3CDTF">2025-10-11T20:09:25Z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