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i/>
        </w:rPr>
        <w:t xml:space="preserve">[Proposta para aprovação da Direção]</w:t>
      </w:r>
    </w:p>
    <w:p>
      <w:pPr>
        <w:pStyle w:val="Heading1"/>
      </w:pPr>
      <w:bookmarkStart w:id="20" w:name="X9e74f1cb1d5dc087014783e130794462846df24"/>
      <w:r>
        <w:t xml:space="preserve">PLANO DE COMUNICAÇÃO E MARKETING 2026-2028</w:t>
      </w:r>
      <w:bookmarkEnd w:id="20"/>
    </w:p>
    <w:p>
      <w:pPr>
        <w:pStyle w:val="Heading2"/>
      </w:pPr>
      <w:bookmarkStart w:id="21" w:name="Xea46dff1232b827c9230acb5dd2a736b431edd1"/>
      <w:r>
        <w:t xml:space="preserve">INSTITUTO PORTUGUÊS DE NEGÓCIOS SOCIAIS – BUREAU SOCIAL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ntrodução"/>
      <w:r>
        <w:t xml:space="preserve">1. INTRODUÇÃO</w:t>
      </w:r>
      <w:bookmarkEnd w:id="22"/>
    </w:p>
    <w:p>
      <w:pPr>
        <w:pStyle w:val="FirstParagraph"/>
      </w:pPr>
      <w:r>
        <w:t xml:space="preserve">O Plano de Comunicação e Marketing do</w:t>
      </w:r>
      <w:r>
        <w:t xml:space="preserve"> </w:t>
      </w:r>
      <w:r>
        <w:rPr>
          <w:b/>
        </w:rPr>
        <w:t xml:space="preserve">Instituto Português de Negócios Sociais – Bureau Social</w:t>
      </w:r>
      <w:r>
        <w:t xml:space="preserve"> </w:t>
      </w:r>
      <w:r>
        <w:t xml:space="preserve">para o triénio 2026-2028 estabelece as diretrizes, os objetivos e as ações para construir uma marca forte, comunicar o nosso impacto e engajar os nossos públicos-alvo.</w:t>
      </w:r>
    </w:p>
    <w:p>
      <w:pPr>
        <w:pStyle w:val="BodyText"/>
      </w:pPr>
      <w:r>
        <w:t xml:space="preserve">Num mundo saturado de informação, uma comunicação eficaz é fundamental para: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Construir Confiança e Credibilidade:</w:t>
      </w:r>
      <w:r>
        <w:t xml:space="preserve"> </w:t>
      </w:r>
      <w:r>
        <w:t xml:space="preserve">Demonstrar a nossa transparência, rigor e impacto.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Mobilizar Recursos:</w:t>
      </w:r>
      <w:r>
        <w:t xml:space="preserve"> </w:t>
      </w:r>
      <w:r>
        <w:t xml:space="preserve">Atrair associados, voluntários, parceiros e financiadores.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Amplificar o Impacto:</w:t>
      </w:r>
      <w:r>
        <w:t xml:space="preserve"> </w:t>
      </w:r>
      <w:r>
        <w:t xml:space="preserve">Divulgar os nossos projetos e inspirar a mudança.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Posicionar o Instituto:</w:t>
      </w:r>
      <w:r>
        <w:t xml:space="preserve"> </w:t>
      </w:r>
      <w:r>
        <w:t xml:space="preserve">Tornar o Bureau Social uma voz de referência no setor da economia social em Portugal.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objetivos-de-comunicação"/>
      <w:r>
        <w:t xml:space="preserve">2. OBJETIVOS DE COMUNICAÇÃO</w:t>
      </w:r>
      <w:bookmarkEnd w:id="23"/>
    </w:p>
    <w:p>
      <w:pPr>
        <w:pStyle w:val="FirstParagraph"/>
      </w:pPr>
      <w:r>
        <w:t xml:space="preserve">Alinhados com o Plano Estratégico Trienal, os nossos objetivos de comunicação são: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Notoriedade (Awareness):</w:t>
      </w:r>
      <w:r>
        <w:t xml:space="preserve"> </w:t>
      </w:r>
      <w:r>
        <w:t xml:space="preserve">Dar a conhecer o Bureau Social, a sua missão e as suas áreas de atuação a um público alargado.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Engajamento (Engagement):</w:t>
      </w:r>
      <w:r>
        <w:t xml:space="preserve"> </w:t>
      </w:r>
      <w:r>
        <w:t xml:space="preserve">Criar uma comunidade ativa e participativa de associados, voluntários e seguidores.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Conversão (Conversion):</w:t>
      </w:r>
      <w:r>
        <w:t xml:space="preserve"> </w:t>
      </w:r>
      <w:r>
        <w:t xml:space="preserve">Transformar o interesse em ação, seja através da adesão como associado, do voluntariado, de donativos ou de parcerias.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Advocacia (Advocacy):</w:t>
      </w:r>
      <w:r>
        <w:t xml:space="preserve"> </w:t>
      </w:r>
      <w:r>
        <w:t xml:space="preserve">Posicionar o Instituto como um líder de pensamento (thought leader) no setor da economia social, influenciando políticas públicas e inspirando boas práticas.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úblicos-alvo-stakeholders"/>
      <w:r>
        <w:t xml:space="preserve">3. PÚBLICOS-ALVO (STAKEHOLDERS)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Público-Alvo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Interesses Principais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Canais Prioritários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Associados e Voluntários</w:t>
            </w:r>
          </w:p>
        </w:tc>
        <w:tc>
          <w:p>
            <w:pPr>
              <w:pStyle w:val="Compact"/>
              <w:jc w:val="left"/>
            </w:pPr>
            <w:r>
              <w:t xml:space="preserve">Sentimento de pertença, impacto, participação</w:t>
            </w:r>
          </w:p>
        </w:tc>
        <w:tc>
          <w:p>
            <w:pPr>
              <w:pStyle w:val="Compact"/>
              <w:jc w:val="left"/>
            </w:pPr>
            <w:r>
              <w:t xml:space="preserve">Newsletter, Eventos, Grupos de Trabalho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Parceiros Empresariais</w:t>
            </w:r>
          </w:p>
        </w:tc>
        <w:tc>
          <w:p>
            <w:pPr>
              <w:pStyle w:val="Compact"/>
              <w:jc w:val="left"/>
            </w:pPr>
            <w:r>
              <w:t xml:space="preserve">Impacto ESG, visibilidade, inovação</w:t>
            </w:r>
          </w:p>
        </w:tc>
        <w:tc>
          <w:p>
            <w:pPr>
              <w:pStyle w:val="Compact"/>
              <w:jc w:val="left"/>
            </w:pPr>
            <w:r>
              <w:t xml:space="preserve">LinkedIn, Apresentações, Relatórios de Impacto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Financiadores e Doadores</w:t>
            </w:r>
          </w:p>
        </w:tc>
        <w:tc>
          <w:p>
            <w:pPr>
              <w:pStyle w:val="Compact"/>
              <w:jc w:val="left"/>
            </w:pPr>
            <w:r>
              <w:t xml:space="preserve">Retorno social, transparência, gestão rigorosa</w:t>
            </w:r>
          </w:p>
        </w:tc>
        <w:tc>
          <w:p>
            <w:pPr>
              <w:pStyle w:val="Compact"/>
              <w:jc w:val="left"/>
            </w:pPr>
            <w:r>
              <w:t xml:space="preserve">Website, Relatórios, Reuniões Individuais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Empreendedores Sociais</w:t>
            </w:r>
          </w:p>
        </w:tc>
        <w:tc>
          <w:p>
            <w:pPr>
              <w:pStyle w:val="Compact"/>
              <w:jc w:val="left"/>
            </w:pPr>
            <w:r>
              <w:t xml:space="preserve">Capacitação, networking, financiamento</w:t>
            </w:r>
          </w:p>
        </w:tc>
        <w:tc>
          <w:p>
            <w:pPr>
              <w:pStyle w:val="Compact"/>
              <w:jc w:val="left"/>
            </w:pPr>
            <w:r>
              <w:t xml:space="preserve">Redes Sociais, Bootcamps, Website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Beneficiários de Projetos</w:t>
            </w:r>
          </w:p>
        </w:tc>
        <w:tc>
          <w:p>
            <w:pPr>
              <w:pStyle w:val="Compact"/>
              <w:jc w:val="left"/>
            </w:pPr>
            <w:r>
              <w:t xml:space="preserve">Soluções eficazes, dignidade, respeito</w:t>
            </w:r>
          </w:p>
        </w:tc>
        <w:tc>
          <w:p>
            <w:pPr>
              <w:pStyle w:val="Compact"/>
              <w:jc w:val="left"/>
            </w:pPr>
            <w:r>
              <w:t xml:space="preserve">Comunicação direta, Website, Folhetos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Setor Público (Autarquias, Governo)</w:t>
            </w:r>
          </w:p>
        </w:tc>
        <w:tc>
          <w:p>
            <w:pPr>
              <w:pStyle w:val="Compact"/>
              <w:jc w:val="left"/>
            </w:pPr>
            <w:r>
              <w:t xml:space="preserve">Soluções para problemas locais, parcerias eficazes</w:t>
            </w:r>
          </w:p>
        </w:tc>
        <w:tc>
          <w:p>
            <w:pPr>
              <w:pStyle w:val="Compact"/>
              <w:jc w:val="left"/>
            </w:pPr>
            <w:r>
              <w:t xml:space="preserve">Reuniões, Protocolos, Relatórios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Órgãos de Comunicação Social</w:t>
            </w:r>
          </w:p>
        </w:tc>
        <w:tc>
          <w:p>
            <w:pPr>
              <w:pStyle w:val="Compact"/>
              <w:jc w:val="left"/>
            </w:pPr>
            <w:r>
              <w:t xml:space="preserve">Histórias de impacto, dados, inovação</w:t>
            </w:r>
          </w:p>
        </w:tc>
        <w:tc>
          <w:p>
            <w:pPr>
              <w:pStyle w:val="Compact"/>
              <w:jc w:val="left"/>
            </w:pPr>
            <w:r>
              <w:t xml:space="preserve">Comunicados de Imprensa, Website, Redes Sociais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Público em Geral</w:t>
            </w:r>
          </w:p>
        </w:tc>
        <w:tc>
          <w:p>
            <w:pPr>
              <w:pStyle w:val="Compact"/>
              <w:jc w:val="left"/>
            </w:pPr>
            <w:r>
              <w:t xml:space="preserve">Causas inspiradoras, formas de ajudar</w:t>
            </w:r>
          </w:p>
        </w:tc>
        <w:tc>
          <w:p>
            <w:pPr>
              <w:pStyle w:val="Compact"/>
              <w:jc w:val="left"/>
            </w:pPr>
            <w:r>
              <w:t xml:space="preserve">Redes Sociais, Website, Eventos Públicos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mensagens-chave"/>
      <w:r>
        <w:t xml:space="preserve">4. MENSAGENS-CHAVE</w:t>
      </w:r>
      <w:bookmarkEnd w:id="25"/>
    </w:p>
    <w:p>
      <w:pPr>
        <w:pStyle w:val="FirstParagraph"/>
      </w:pPr>
      <w:r>
        <w:t xml:space="preserve">As nossas mensagens-chave devem ser consistentes em todos os canais e adaptadas a cada público-alvo.</w:t>
      </w:r>
    </w:p>
    <w:p>
      <w:pPr>
        <w:pStyle w:val="Heading3"/>
      </w:pPr>
      <w:bookmarkStart w:id="26" w:name="mensagem-central"/>
      <w:r>
        <w:t xml:space="preserve">4.1. Mensagem Central</w:t>
      </w:r>
      <w:bookmarkEnd w:id="26"/>
    </w:p>
    <w:p>
      <w:pPr>
        <w:pStyle w:val="BlockText"/>
      </w:pPr>
      <w:r>
        <w:rPr>
          <w:b/>
        </w:rPr>
        <w:t xml:space="preserve">O Bureau Social é uma IPSS de nova geração que constrói soluções de mercado para os desafios sociais de Portugal, unindo a sustentabilidade financeira ao propósito social.</w:t>
      </w:r>
    </w:p>
    <w:p>
      <w:pPr>
        <w:pStyle w:val="Heading3"/>
      </w:pPr>
      <w:bookmarkStart w:id="27" w:name="mensagens-de-suporte"/>
      <w:r>
        <w:t xml:space="preserve">4.2. Mensagens de Suporte</w:t>
      </w:r>
      <w:bookmarkEnd w:id="27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Para Empresas:</w:t>
      </w:r>
      <w:r>
        <w:t xml:space="preserve"> </w:t>
      </w:r>
      <w:r>
        <w:t xml:space="preserve">“</w:t>
      </w:r>
      <w:r>
        <w:t xml:space="preserve">Seja nosso parceiro e transforme a sua responsabilidade social num investimento com retorno mensurável.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Para Empreendedores:</w:t>
      </w:r>
      <w:r>
        <w:t xml:space="preserve"> </w:t>
      </w:r>
      <w:r>
        <w:t xml:space="preserve">“</w:t>
      </w:r>
      <w:r>
        <w:t xml:space="preserve">Tem uma ideia para mudar o mundo? Nós ajudamos a torná-la um negócio sustentável.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Para o Público:</w:t>
      </w:r>
      <w:r>
        <w:t xml:space="preserve"> </w:t>
      </w:r>
      <w:r>
        <w:t xml:space="preserve">“</w:t>
      </w:r>
      <w:r>
        <w:t xml:space="preserve">Junte-se a nós. A sua contribuição, por mais pequena que seja, é o motor da mudança.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Para o Setor Público:</w:t>
      </w:r>
      <w:r>
        <w:t xml:space="preserve"> </w:t>
      </w:r>
      <w:r>
        <w:t xml:space="preserve">“</w:t>
      </w:r>
      <w:r>
        <w:t xml:space="preserve">Somos o parceiro ideal para implementar soluções inovadoras e eficazes no seu território.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canais-de-comunicação"/>
      <w:r>
        <w:t xml:space="preserve">5. CANAIS DE COMUNICAÇÃO</w:t>
      </w:r>
      <w:bookmarkEnd w:id="2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Objetivo Principal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Frequência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Website Institucional</w:t>
            </w:r>
          </w:p>
        </w:tc>
        <w:tc>
          <w:p>
            <w:pPr>
              <w:pStyle w:val="Compact"/>
              <w:jc w:val="left"/>
            </w:pPr>
            <w:r>
              <w:t xml:space="preserve">Hub central de informação, credibilidade</w:t>
            </w:r>
          </w:p>
        </w:tc>
        <w:tc>
          <w:p>
            <w:pPr>
              <w:pStyle w:val="Compact"/>
              <w:jc w:val="left"/>
            </w:pPr>
            <w:r>
              <w:t xml:space="preserve">Atualização contínua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LinkedIn</w:t>
            </w:r>
          </w:p>
        </w:tc>
        <w:tc>
          <w:p>
            <w:pPr>
              <w:pStyle w:val="Compact"/>
              <w:jc w:val="left"/>
            </w:pPr>
            <w:r>
              <w:t xml:space="preserve">Notoriedade, parcerias, thought leadership</w:t>
            </w:r>
          </w:p>
        </w:tc>
        <w:tc>
          <w:p>
            <w:pPr>
              <w:pStyle w:val="Compact"/>
              <w:jc w:val="left"/>
            </w:pPr>
            <w:r>
              <w:t xml:space="preserve">3-4 publicações / semana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Instagram / Facebook</w:t>
            </w:r>
          </w:p>
        </w:tc>
        <w:tc>
          <w:p>
            <w:pPr>
              <w:pStyle w:val="Compact"/>
              <w:jc w:val="left"/>
            </w:pPr>
            <w:r>
              <w:t xml:space="preserve">Engajamento, storytelling, comunidade</w:t>
            </w:r>
          </w:p>
        </w:tc>
        <w:tc>
          <w:p>
            <w:pPr>
              <w:pStyle w:val="Compact"/>
              <w:jc w:val="left"/>
            </w:pPr>
            <w:r>
              <w:t xml:space="preserve">4-5 publicações / semana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Newsletter Mensal</w:t>
            </w:r>
          </w:p>
        </w:tc>
        <w:tc>
          <w:p>
            <w:pPr>
              <w:pStyle w:val="Compact"/>
              <w:jc w:val="left"/>
            </w:pPr>
            <w:r>
              <w:t xml:space="preserve">Fidelização de associados, informação aprofundada</w:t>
            </w:r>
          </w:p>
        </w:tc>
        <w:tc>
          <w:p>
            <w:pPr>
              <w:pStyle w:val="Compact"/>
              <w:jc w:val="left"/>
            </w:pPr>
            <w:r>
              <w:t xml:space="preserve">Mensal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Relatório Anual de Impacto</w:t>
            </w:r>
          </w:p>
        </w:tc>
        <w:tc>
          <w:p>
            <w:pPr>
              <w:pStyle w:val="Compact"/>
              <w:jc w:val="left"/>
            </w:pPr>
            <w:r>
              <w:t xml:space="preserve">Prestação de contas, captação de recursos</w:t>
            </w:r>
          </w:p>
        </w:tc>
        <w:tc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Eventos (Online e Presenciais)</w:t>
            </w:r>
          </w:p>
        </w:tc>
        <w:tc>
          <w:p>
            <w:pPr>
              <w:pStyle w:val="Compact"/>
              <w:jc w:val="left"/>
            </w:pPr>
            <w:r>
              <w:t xml:space="preserve">Networking, capacitação, notoriedade</w:t>
            </w:r>
          </w:p>
        </w:tc>
        <w:tc>
          <w:p>
            <w:pPr>
              <w:pStyle w:val="Compact"/>
              <w:jc w:val="left"/>
            </w:pPr>
            <w:r>
              <w:t xml:space="preserve">Trimestral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Relações com os Media</w:t>
            </w:r>
          </w:p>
        </w:tc>
        <w:tc>
          <w:p>
            <w:pPr>
              <w:pStyle w:val="Compact"/>
              <w:jc w:val="left"/>
            </w:pPr>
            <w:r>
              <w:t xml:space="preserve">Visibilidade, credibilidade</w:t>
            </w:r>
          </w:p>
        </w:tc>
        <w:tc>
          <w:p>
            <w:pPr>
              <w:pStyle w:val="Compact"/>
              <w:jc w:val="left"/>
            </w:pPr>
            <w:r>
              <w:t xml:space="preserve">Proativa (sempre que há novidades)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plano-de-ação-de-conteúdos"/>
      <w:r>
        <w:t xml:space="preserve">6. PLANO DE AÇÃO DE CONTEÚDOS</w:t>
      </w:r>
      <w:bookmarkEnd w:id="29"/>
    </w:p>
    <w:p>
      <w:pPr>
        <w:pStyle w:val="Heading3"/>
      </w:pPr>
      <w:bookmarkStart w:id="30" w:name="website"/>
      <w:r>
        <w:t xml:space="preserve">6.1. Website</w:t>
      </w:r>
      <w:bookmarkEnd w:id="30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Blog:</w:t>
      </w:r>
      <w:r>
        <w:t xml:space="preserve"> </w:t>
      </w:r>
      <w:r>
        <w:t xml:space="preserve">Publicação quinzenal de artigos sobre as nossas áreas de atuação, casos de estudo e tendências do setor.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Secção de Notícias:</w:t>
      </w:r>
      <w:r>
        <w:t xml:space="preserve"> </w:t>
      </w:r>
      <w:r>
        <w:t xml:space="preserve">Atualização regular com as atividades do Instituto.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Páginas de Projetos:</w:t>
      </w:r>
      <w:r>
        <w:t xml:space="preserve"> </w:t>
      </w:r>
      <w:r>
        <w:t xml:space="preserve">Páginas detalhadas para cada projeto, com objetivos, progresso e impacto.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Relatórios:</w:t>
      </w:r>
      <w:r>
        <w:t xml:space="preserve"> </w:t>
      </w:r>
      <w:r>
        <w:t xml:space="preserve">Disponibilização de todos os relatórios de atividades e contas.</w:t>
      </w:r>
    </w:p>
    <w:p>
      <w:pPr>
        <w:pStyle w:val="Heading3"/>
      </w:pPr>
      <w:bookmarkStart w:id="31" w:name="redes-sociais"/>
      <w:r>
        <w:t xml:space="preserve">6.2. Redes Sociais</w:t>
      </w:r>
      <w:bookmarkEnd w:id="31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LinkedIn:</w:t>
      </w:r>
      <w:r>
        <w:t xml:space="preserve"> </w:t>
      </w:r>
      <w:r>
        <w:t xml:space="preserve">Foco em conteúdo profissional, partilha de artigos, notícias do setor, divulgação de parcerias e resultados de projetos.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Instagram/Facebook:</w:t>
      </w:r>
      <w:r>
        <w:t xml:space="preserve"> </w:t>
      </w:r>
      <w:r>
        <w:t xml:space="preserve">Foco em storytelling, mostrando o lado humano do nosso trabalho, testemunhos de beneficiários, bastidores, vídeos curtos e apelos à ação.</w:t>
      </w:r>
    </w:p>
    <w:p>
      <w:pPr>
        <w:pStyle w:val="Heading3"/>
      </w:pPr>
      <w:bookmarkStart w:id="32" w:name="newsletter"/>
      <w:r>
        <w:t xml:space="preserve">6.3. Newsletter</w:t>
      </w:r>
      <w:bookmarkEnd w:id="32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Edital do Presidente:</w:t>
      </w:r>
      <w:r>
        <w:t xml:space="preserve"> </w:t>
      </w:r>
      <w:r>
        <w:t xml:space="preserve">Uma mensagem mensal do Presidente da Direção.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Destaque do Mês:</w:t>
      </w:r>
      <w:r>
        <w:t xml:space="preserve"> </w:t>
      </w:r>
      <w:r>
        <w:t xml:space="preserve">Um projeto, um parceiro ou um associado em destaque.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Próximos Eventos:</w:t>
      </w:r>
      <w:r>
        <w:t xml:space="preserve"> </w:t>
      </w:r>
      <w:r>
        <w:t xml:space="preserve">Agenda de atividades.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Apelo à Ação:</w:t>
      </w:r>
      <w:r>
        <w:t xml:space="preserve"> </w:t>
      </w:r>
      <w:r>
        <w:t xml:space="preserve">Um convite claro para participar ou contribuir.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plano-de-ação-por-ano"/>
      <w:r>
        <w:t xml:space="preserve">7. PLANO DE AÇÃO POR ANO</w:t>
      </w:r>
      <w:bookmarkEnd w:id="33"/>
    </w:p>
    <w:p>
      <w:pPr>
        <w:pStyle w:val="Heading3"/>
      </w:pPr>
      <w:bookmarkStart w:id="34" w:name="X9647f13d483a3c6e12cd70b987fec4fe7a9ab96"/>
      <w:r>
        <w:t xml:space="preserve">ANO 1 (2026): LANÇAMENTO E CONSTRUÇÃO DE BASE</w:t>
      </w:r>
      <w:bookmarkEnd w:id="34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Foco:</w:t>
      </w:r>
      <w:r>
        <w:t xml:space="preserve"> </w:t>
      </w:r>
      <w:r>
        <w:t xml:space="preserve">Lançar a marca e construir uma base inicial de seguidores e associados.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Ações:</w:t>
      </w:r>
    </w:p>
    <w:p>
      <w:pPr>
        <w:numPr>
          <w:ilvl w:val="1"/>
          <w:numId w:val="1008"/>
        </w:numPr>
        <w:pStyle w:val="Compact"/>
      </w:pPr>
      <w:r>
        <w:t xml:space="preserve">Lançamento do website e das redes sociais.</w:t>
      </w:r>
    </w:p>
    <w:p>
      <w:pPr>
        <w:numPr>
          <w:ilvl w:val="1"/>
          <w:numId w:val="1008"/>
        </w:numPr>
        <w:pStyle w:val="Compact"/>
      </w:pPr>
      <w:r>
        <w:t xml:space="preserve">Campanha de comunicação sobre a constituição do Instituto.</w:t>
      </w:r>
    </w:p>
    <w:p>
      <w:pPr>
        <w:numPr>
          <w:ilvl w:val="1"/>
          <w:numId w:val="1008"/>
        </w:numPr>
        <w:pStyle w:val="Compact"/>
      </w:pPr>
      <w:r>
        <w:t xml:space="preserve">Evento de lançamento público.</w:t>
      </w:r>
    </w:p>
    <w:p>
      <w:pPr>
        <w:numPr>
          <w:ilvl w:val="1"/>
          <w:numId w:val="1008"/>
        </w:numPr>
        <w:pStyle w:val="Compact"/>
      </w:pPr>
      <w:r>
        <w:t xml:space="preserve">Campanha de angariação dos primeiros 50 associados.</w:t>
      </w:r>
    </w:p>
    <w:p>
      <w:pPr>
        <w:numPr>
          <w:ilvl w:val="1"/>
          <w:numId w:val="1008"/>
        </w:numPr>
        <w:pStyle w:val="Compact"/>
      </w:pPr>
      <w:r>
        <w:t xml:space="preserve">Produção de um vídeo institucional de apresentação.</w:t>
      </w:r>
    </w:p>
    <w:p>
      <w:pPr>
        <w:pStyle w:val="Heading3"/>
      </w:pPr>
      <w:bookmarkStart w:id="35" w:name="Xdd094305db9e062ff1335e9e429cc3dc3351280"/>
      <w:r>
        <w:t xml:space="preserve">ANO 2 (2026): ENGAJAMENTO E DEMONSTRAÇÃO DE IMPACTO</w:t>
      </w:r>
      <w:bookmarkEnd w:id="35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Foco:</w:t>
      </w:r>
      <w:r>
        <w:t xml:space="preserve"> </w:t>
      </w:r>
      <w:r>
        <w:t xml:space="preserve">Comunicar os resultados dos primeiros projetos e aprofundar o engajamento da comunidade.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Ações:</w:t>
      </w:r>
    </w:p>
    <w:p>
      <w:pPr>
        <w:numPr>
          <w:ilvl w:val="1"/>
          <w:numId w:val="1010"/>
        </w:numPr>
        <w:pStyle w:val="Compact"/>
      </w:pPr>
      <w:r>
        <w:t xml:space="preserve">Publicação de histórias de sucesso dos primeiros projetos.</w:t>
      </w:r>
    </w:p>
    <w:p>
      <w:pPr>
        <w:numPr>
          <w:ilvl w:val="1"/>
          <w:numId w:val="1010"/>
        </w:numPr>
        <w:pStyle w:val="Compact"/>
      </w:pPr>
      <w:r>
        <w:t xml:space="preserve">Lançamento do primeiro Relatório Anual de Atividades.</w:t>
      </w:r>
    </w:p>
    <w:p>
      <w:pPr>
        <w:numPr>
          <w:ilvl w:val="1"/>
          <w:numId w:val="1010"/>
        </w:numPr>
        <w:pStyle w:val="Compact"/>
      </w:pPr>
      <w:r>
        <w:t xml:space="preserve">Realização de 2 webinars temáticos.</w:t>
      </w:r>
    </w:p>
    <w:p>
      <w:pPr>
        <w:numPr>
          <w:ilvl w:val="1"/>
          <w:numId w:val="1010"/>
        </w:numPr>
        <w:pStyle w:val="Compact"/>
      </w:pPr>
      <w:r>
        <w:t xml:space="preserve">Campanha de captação de voluntários.</w:t>
      </w:r>
    </w:p>
    <w:p>
      <w:pPr>
        <w:numPr>
          <w:ilvl w:val="1"/>
          <w:numId w:val="1010"/>
        </w:numPr>
        <w:pStyle w:val="Compact"/>
      </w:pPr>
      <w:r>
        <w:t xml:space="preserve">Estratégia de relações com os media para divulgar resultados.</w:t>
      </w:r>
    </w:p>
    <w:p>
      <w:pPr>
        <w:pStyle w:val="Heading3"/>
      </w:pPr>
      <w:bookmarkStart w:id="36" w:name="ano-3-2027-liderança-e-expansão"/>
      <w:r>
        <w:t xml:space="preserve">ANO 3 (2027): LIDERANÇA E EXPANSÃO</w:t>
      </w:r>
      <w:bookmarkEnd w:id="36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Foco:</w:t>
      </w:r>
      <w:r>
        <w:t xml:space="preserve"> </w:t>
      </w:r>
      <w:r>
        <w:t xml:space="preserve">Posicionar o Bureau Social como um líder de pensamento e expandir o alcance da comunicação.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Ações:</w:t>
      </w:r>
    </w:p>
    <w:p>
      <w:pPr>
        <w:numPr>
          <w:ilvl w:val="1"/>
          <w:numId w:val="1012"/>
        </w:numPr>
        <w:pStyle w:val="Compact"/>
      </w:pPr>
      <w:r>
        <w:t xml:space="preserve">Publicação do primeiro Relatório de Impacto Social.</w:t>
      </w:r>
    </w:p>
    <w:p>
      <w:pPr>
        <w:numPr>
          <w:ilvl w:val="1"/>
          <w:numId w:val="1012"/>
        </w:numPr>
        <w:pStyle w:val="Compact"/>
      </w:pPr>
      <w:r>
        <w:t xml:space="preserve">Organização de uma conferência anual sobre inovação social.</w:t>
      </w:r>
    </w:p>
    <w:p>
      <w:pPr>
        <w:numPr>
          <w:ilvl w:val="1"/>
          <w:numId w:val="1012"/>
        </w:numPr>
        <w:pStyle w:val="Compact"/>
      </w:pPr>
      <w:r>
        <w:t xml:space="preserve">Lançamento de um podcast sobre negócios com propósito.</w:t>
      </w:r>
    </w:p>
    <w:p>
      <w:pPr>
        <w:numPr>
          <w:ilvl w:val="1"/>
          <w:numId w:val="1012"/>
        </w:numPr>
        <w:pStyle w:val="Compact"/>
      </w:pPr>
      <w:r>
        <w:t xml:space="preserve">Parcerias com influenciadores digitais alinhados com a nossa missão.</w:t>
      </w:r>
    </w:p>
    <w:p>
      <w:pPr>
        <w:numPr>
          <w:ilvl w:val="1"/>
          <w:numId w:val="1012"/>
        </w:numPr>
        <w:pStyle w:val="Compact"/>
      </w:pPr>
      <w:r>
        <w:t xml:space="preserve">Estratégia de advocacy para influenciar políticas públicas.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orçamento-de-comunicação"/>
      <w:r>
        <w:t xml:space="preserve">8. ORÇAMENTO DE COMUNICAÇÃO</w:t>
      </w:r>
      <w:bookmarkEnd w:id="37"/>
    </w:p>
    <w:p>
      <w:pPr>
        <w:pStyle w:val="FirstParagraph"/>
      </w:pPr>
      <w:r>
        <w:t xml:space="preserve">O orçamento de comunicação será progressivo, começando com um investimento modesto e aumentando à medida que a captação de recursos for bem-sucedida.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Rubrica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Ano 1 (2026)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Ano 2 (2026)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Ano 3 (2027)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Publicidade Online</w:t>
            </w:r>
          </w:p>
        </w:tc>
        <w:tc>
          <w:p>
            <w:pPr>
              <w:pStyle w:val="Compact"/>
              <w:jc w:val="left"/>
            </w:pPr>
            <w:r>
              <w:t xml:space="preserve">400 €</w:t>
            </w:r>
          </w:p>
        </w:tc>
        <w:tc>
          <w:p>
            <w:pPr>
              <w:pStyle w:val="Compact"/>
              <w:jc w:val="left"/>
            </w:pPr>
            <w:r>
              <w:t xml:space="preserve">1.500 €</w:t>
            </w:r>
          </w:p>
        </w:tc>
        <w:tc>
          <w:p>
            <w:pPr>
              <w:pStyle w:val="Compact"/>
              <w:jc w:val="left"/>
            </w:pPr>
            <w:r>
              <w:t xml:space="preserve">3.000 €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Ferramentas (Email, Design)</w:t>
            </w:r>
          </w:p>
        </w:tc>
        <w:tc>
          <w:p>
            <w:pPr>
              <w:pStyle w:val="Compact"/>
              <w:jc w:val="left"/>
            </w:pPr>
            <w:r>
              <w:t xml:space="preserve">300 €</w:t>
            </w:r>
          </w:p>
        </w:tc>
        <w:tc>
          <w:p>
            <w:pPr>
              <w:pStyle w:val="Compact"/>
              <w:jc w:val="left"/>
            </w:pPr>
            <w:r>
              <w:t xml:space="preserve">500 €</w:t>
            </w:r>
          </w:p>
        </w:tc>
        <w:tc>
          <w:p>
            <w:pPr>
              <w:pStyle w:val="Compact"/>
              <w:jc w:val="left"/>
            </w:pPr>
            <w:r>
              <w:t xml:space="preserve">800 €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Produção de Conteúdo (Vídeo, etc.)</w:t>
            </w:r>
          </w:p>
        </w:tc>
        <w:tc>
          <w:p>
            <w:pPr>
              <w:pStyle w:val="Compact"/>
              <w:jc w:val="left"/>
            </w:pPr>
            <w:r>
              <w:t xml:space="preserve">500 €</w:t>
            </w:r>
          </w:p>
        </w:tc>
        <w:tc>
          <w:p>
            <w:pPr>
              <w:pStyle w:val="Compact"/>
              <w:jc w:val="left"/>
            </w:pPr>
            <w:r>
              <w:t xml:space="preserve">2.000 €</w:t>
            </w:r>
          </w:p>
        </w:tc>
        <w:tc>
          <w:p>
            <w:pPr>
              <w:pStyle w:val="Compact"/>
              <w:jc w:val="left"/>
            </w:pPr>
            <w:r>
              <w:t xml:space="preserve">4.000 €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Eventos</w:t>
            </w:r>
          </w:p>
        </w:tc>
        <w:tc>
          <w:p>
            <w:pPr>
              <w:pStyle w:val="Compact"/>
              <w:jc w:val="left"/>
            </w:pPr>
            <w:r>
              <w:t xml:space="preserve">500 €</w:t>
            </w:r>
          </w:p>
        </w:tc>
        <w:tc>
          <w:p>
            <w:pPr>
              <w:pStyle w:val="Compact"/>
              <w:jc w:val="left"/>
            </w:pPr>
            <w:r>
              <w:t xml:space="preserve">1.500 €</w:t>
            </w:r>
          </w:p>
        </w:tc>
        <w:tc>
          <w:p>
            <w:pPr>
              <w:pStyle w:val="Compact"/>
              <w:jc w:val="left"/>
            </w:pPr>
            <w:r>
              <w:t xml:space="preserve">5.000 €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1.700 €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5.500 €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12.800 €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indicadores-de-sucesso-kpis"/>
      <w:r>
        <w:t xml:space="preserve">9. INDICADORES DE SUCESSO (KPIs)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Meta 2027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Notoriedade</w:t>
            </w:r>
          </w:p>
        </w:tc>
        <w:tc>
          <w:p>
            <w:pPr>
              <w:pStyle w:val="Compact"/>
              <w:jc w:val="left"/>
            </w:pPr>
            <w:r>
              <w:t xml:space="preserve">Alcance nas redes sociais</w:t>
            </w:r>
          </w:p>
        </w:tc>
        <w:tc>
          <w:p>
            <w:pPr>
              <w:pStyle w:val="Compact"/>
              <w:jc w:val="left"/>
            </w:pPr>
            <w:r>
              <w:t xml:space="preserve">500.000 pessoas / ano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Menções nos media</w:t>
            </w:r>
          </w:p>
        </w:tc>
        <w:tc>
          <w:p>
            <w:pPr>
              <w:pStyle w:val="Compact"/>
              <w:jc w:val="left"/>
            </w:pPr>
            <w:r>
              <w:t xml:space="preserve">20 menções / ano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Engajamento</w:t>
            </w:r>
          </w:p>
        </w:tc>
        <w:tc>
          <w:p>
            <w:pPr>
              <w:pStyle w:val="Compact"/>
              <w:jc w:val="left"/>
            </w:pPr>
            <w:r>
              <w:t xml:space="preserve">Taxa de interação nas redes sociais</w:t>
            </w:r>
          </w:p>
        </w:tc>
        <w:tc>
          <w:p>
            <w:pPr>
              <w:pStyle w:val="Compact"/>
              <w:jc w:val="left"/>
            </w:pPr>
            <w:r>
              <w:t xml:space="preserve">&gt; 5%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Taxa de abertura da newsletter</w:t>
            </w:r>
          </w:p>
        </w:tc>
        <w:tc>
          <w:p>
            <w:pPr>
              <w:pStyle w:val="Compact"/>
              <w:jc w:val="left"/>
            </w:pPr>
            <w:r>
              <w:t xml:space="preserve">&gt; 30%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Conversão</w:t>
            </w:r>
          </w:p>
        </w:tc>
        <w:tc>
          <w:p>
            <w:pPr>
              <w:pStyle w:val="Compact"/>
              <w:jc w:val="left"/>
            </w:pPr>
            <w:r>
              <w:t xml:space="preserve">Número de novos associados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Valor de donativos online</w:t>
            </w:r>
          </w:p>
        </w:tc>
        <w:tc>
          <w:p>
            <w:pPr>
              <w:pStyle w:val="Compact"/>
              <w:jc w:val="left"/>
            </w:pPr>
            <w:r>
              <w:t xml:space="preserve">15.000 €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Advocacia</w:t>
            </w:r>
          </w:p>
        </w:tc>
        <w:tc>
          <w:p>
            <w:pPr>
              <w:pStyle w:val="Compact"/>
              <w:jc w:val="left"/>
            </w:pPr>
            <w:r>
              <w:t xml:space="preserve">Número de artigos de opinião publicados</w:t>
            </w:r>
          </w:p>
        </w:tc>
        <w:tc>
          <w:p>
            <w:pPr>
              <w:pStyle w:val="Compact"/>
              <w:jc w:val="left"/>
            </w:pPr>
            <w:r>
              <w:t xml:space="preserve">5 / ano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Convites para palestras e conferências</w:t>
            </w:r>
          </w:p>
        </w:tc>
        <w:tc>
          <w:p>
            <w:pPr>
              <w:pStyle w:val="Compact"/>
              <w:jc w:val="left"/>
            </w:pPr>
            <w:r>
              <w:t xml:space="preserve">10 / ano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conclusão"/>
      <w:r>
        <w:t xml:space="preserve">10. CONCLUSÃO</w:t>
      </w:r>
      <w:bookmarkEnd w:id="39"/>
    </w:p>
    <w:p>
      <w:pPr>
        <w:pStyle w:val="FirstParagraph"/>
      </w:pPr>
      <w:r>
        <w:t xml:space="preserve">Este Plano de Comunicação e Marketing é uma ferramenta dinâmica que será revista e ajustada anualmente. O seu sucesso depende da capacidade do Instituto de gerar impacto real e de comunicar esse impacto de forma autêntica, criativa e consistente.</w:t>
      </w:r>
    </w:p>
    <w:p>
      <w:pPr>
        <w:pStyle w:val="BodyText"/>
      </w:pPr>
      <w:r>
        <w:t xml:space="preserve">A comunicação não é uma função isolada; é uma responsabilidade de todos os que fazem parte do Bureau Social. Juntos, vamos construir uma marca que inspira confiança, mobiliza para a ação e transforma Portugal.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 Direção,</w:t>
      </w:r>
    </w:p>
    <w:p>
      <w:pPr>
        <w:pStyle w:val="BodyText"/>
      </w:pPr>
      <w:r>
        <w:t xml:space="preserve">Lisboa, 21 de outubro de 2026.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(António, Presidente)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(Marcos, Secretário)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(Diego, Tesoureiro)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2025-10-11T20:09:25Z</dcterms:created>
  <dcterms:modified xsi:type="dcterms:W3CDTF">2025-10-11T20:09:25Z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