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i/>
        </w:rPr>
        <w:t xml:space="preserve">[Proposta para aprovação em Assembleia Geral]</w:t>
      </w:r>
    </w:p>
    <w:p>
      <w:pPr>
        <w:pStyle w:val="Heading1"/>
      </w:pPr>
      <w:bookmarkStart w:id="20" w:name="plano-estratégico-trienal-2026-2028"/>
      <w:r>
        <w:t xml:space="preserve">PLANO ESTRATÉGICO TRIENAL 2026-2028</w:t>
      </w:r>
      <w:bookmarkEnd w:id="20"/>
    </w:p>
    <w:p>
      <w:pPr>
        <w:pStyle w:val="Heading2"/>
      </w:pPr>
      <w:bookmarkStart w:id="21" w:name="Xea46dff1232b827c9230acb5dd2a736b431edd1"/>
      <w:r>
        <w:t xml:space="preserve">INSTITUTO PORTUGUÊS DE NEGÓCIOS SOCIAIS – BUREAU SOCIAL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sumário-executivo"/>
      <w:r>
        <w:t xml:space="preserve">SUMÁRIO EXECUTIVO</w:t>
      </w:r>
      <w:bookmarkEnd w:id="22"/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</w:rPr>
        <w:t xml:space="preserve">Instituto Português de Negócios Sociais – Bureau Social</w:t>
      </w:r>
      <w:r>
        <w:t xml:space="preserve"> </w:t>
      </w:r>
      <w:r>
        <w:t xml:space="preserve">apresenta o seu primeiro Plano Estratégico Trienal, que define a visão, os objetivos e as prioridades estratégicas para o período de 2026 a 2027. Este documento constitui o roteiro que orientará a ação do Instituto nos seus primeiros três anos de atividade, com o objetivo de consolidar a sua posição como uma referência nacional na construção de soluções inovadoras para os desafios sociais de Portugal.</w:t>
      </w:r>
    </w:p>
    <w:p>
      <w:pPr>
        <w:pStyle w:val="BodyText"/>
      </w:pPr>
      <w:r>
        <w:rPr>
          <w:b/>
        </w:rPr>
        <w:t xml:space="preserve">Visão para 2027:</w:t>
      </w:r>
      <w:r>
        <w:t xml:space="preserve"> </w:t>
      </w:r>
      <w:r>
        <w:t xml:space="preserve">Ser reconhecido como um ecossistema de impacto social que conecta pessoas, organizações e recursos para criar soluções sustentáveis e escaláveis nas áreas da habitação social, do empreendedorismo social, da sustentabilidade ESG, da economia circular e da educação para a cidadania.</w:t>
      </w:r>
    </w:p>
    <w:p>
      <w:pPr>
        <w:pStyle w:val="BodyText"/>
      </w:pPr>
      <w:r>
        <w:rPr>
          <w:b/>
        </w:rPr>
        <w:t xml:space="preserve">Metas Ambiciosas: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500 associados</w:t>
      </w:r>
      <w:r>
        <w:t xml:space="preserve"> </w:t>
      </w:r>
      <w:r>
        <w:t xml:space="preserve">ativos e engajados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20 projetos</w:t>
      </w:r>
      <w:r>
        <w:t xml:space="preserve"> </w:t>
      </w:r>
      <w:r>
        <w:t xml:space="preserve">de impacto implementados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1.000 beneficiários</w:t>
      </w:r>
      <w:r>
        <w:t xml:space="preserve"> </w:t>
      </w:r>
      <w:r>
        <w:t xml:space="preserve">diretos apoiados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€ 500.000</w:t>
      </w:r>
      <w:r>
        <w:t xml:space="preserve"> </w:t>
      </w:r>
      <w:r>
        <w:t xml:space="preserve">em recursos captados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10 parcerias estratégicas</w:t>
      </w:r>
      <w:r>
        <w:t xml:space="preserve"> </w:t>
      </w:r>
      <w:r>
        <w:t xml:space="preserve">consolidadas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contexto-e-diagnóstico"/>
      <w:r>
        <w:t xml:space="preserve">1. CONTEXTO E DIAGNÓSTICO</w:t>
      </w:r>
      <w:bookmarkEnd w:id="23"/>
    </w:p>
    <w:p>
      <w:pPr>
        <w:pStyle w:val="Heading3"/>
      </w:pPr>
      <w:bookmarkStart w:id="24" w:name="o-desafio-social-em-portugal"/>
      <w:r>
        <w:t xml:space="preserve">1.1. O Desafio Social em Portugal</w:t>
      </w:r>
      <w:bookmarkEnd w:id="24"/>
    </w:p>
    <w:p>
      <w:pPr>
        <w:pStyle w:val="FirstParagraph"/>
      </w:pPr>
      <w:r>
        <w:t xml:space="preserve">Portugal enfrenta desafios sociais estruturais que exigem respostas inovadoras e sustentáveis. A crise habitacional, o desemprego de longa duração, a exclusão social de grupos vulneráveis e a necessidade urgente de uma transição climática justa são problemas que não podem ser resolvidos apenas pelo Estado ou pelo mercado.</w:t>
      </w:r>
    </w:p>
    <w:p>
      <w:pPr>
        <w:pStyle w:val="BodyText"/>
      </w:pPr>
      <w:r>
        <w:t xml:space="preserve">O terceiro setor, e em particular as Instituições Particulares de Solidariedade Social (IPSS), desempenham um papel crucial na construção de pontes entre o capital e o propósito, entre a inovação e a necessidade social. No entanto, muitas IPSS enfrentam desafios de sustentabilidade financeira, de capacidade técnica e de inovação.</w:t>
      </w:r>
    </w:p>
    <w:p>
      <w:pPr>
        <w:pStyle w:val="Heading3"/>
      </w:pPr>
      <w:bookmarkStart w:id="25" w:name="a-oportunidade-do-bureau-social"/>
      <w:r>
        <w:t xml:space="preserve">1.2. A Oportunidade do Bureau Social</w:t>
      </w:r>
      <w:bookmarkEnd w:id="25"/>
    </w:p>
    <w:p>
      <w:pPr>
        <w:pStyle w:val="FirstParagraph"/>
      </w:pPr>
      <w:r>
        <w:t xml:space="preserve">O Bureau Social nasce para preencher esta lacuna, posicionando-se como uma</w:t>
      </w:r>
      <w:r>
        <w:t xml:space="preserve"> </w:t>
      </w:r>
      <w:r>
        <w:rPr>
          <w:b/>
        </w:rPr>
        <w:t xml:space="preserve">IPSS de nova geração</w:t>
      </w:r>
      <w:r>
        <w:t xml:space="preserve">, que combina: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Rigor de Gestão:</w:t>
      </w:r>
      <w:r>
        <w:t xml:space="preserve"> </w:t>
      </w:r>
      <w:r>
        <w:t xml:space="preserve">Adotando as melhores práticas de governança, transparência e prestação de contas.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Inovação Social:</w:t>
      </w:r>
      <w:r>
        <w:t xml:space="preserve"> </w:t>
      </w:r>
      <w:r>
        <w:t xml:space="preserve">Desenvolvendo e testando novos modelos de intervenção social.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Sustentabilidade Financeira:</w:t>
      </w:r>
      <w:r>
        <w:t xml:space="preserve"> </w:t>
      </w:r>
      <w:r>
        <w:t xml:space="preserve">Diversificando fontes de receita e construindo modelos de negócio social viáveis.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Parcerias Estratégicas:</w:t>
      </w:r>
      <w:r>
        <w:t xml:space="preserve"> </w:t>
      </w:r>
      <w:r>
        <w:t xml:space="preserve">Articulando o setor público, privado e o terceiro setor para maximizar o impacto.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missão-visão-e-valores"/>
      <w:r>
        <w:t xml:space="preserve">2. MISSÃO, VISÃO E VALORES</w:t>
      </w:r>
      <w:bookmarkEnd w:id="26"/>
    </w:p>
    <w:p>
      <w:pPr>
        <w:pStyle w:val="Heading3"/>
      </w:pPr>
      <w:bookmarkStart w:id="27" w:name="missão"/>
      <w:r>
        <w:t xml:space="preserve">2.1. Missão</w:t>
      </w:r>
      <w:bookmarkEnd w:id="27"/>
    </w:p>
    <w:p>
      <w:pPr>
        <w:pStyle w:val="FirstParagraph"/>
      </w:pPr>
      <w:r>
        <w:t xml:space="preserve">Promover soluções inovadoras de economia social que contribuam para a realização dos direitos sociais em Portugal, dando expressão organizada ao dever moral de justiça e solidariedade.</w:t>
      </w:r>
    </w:p>
    <w:p>
      <w:pPr>
        <w:pStyle w:val="Heading3"/>
      </w:pPr>
      <w:bookmarkStart w:id="28" w:name="visão"/>
      <w:r>
        <w:t xml:space="preserve">2.2. Visão</w:t>
      </w:r>
      <w:bookmarkEnd w:id="28"/>
    </w:p>
    <w:p>
      <w:pPr>
        <w:pStyle w:val="FirstParagraph"/>
      </w:pPr>
      <w:r>
        <w:t xml:space="preserve">Tornarmo-nos uma referência nacional na construção de soluções sociais sustentáveis e inclusivas, inspirando outras organizações e mobilizando parcerias para transformar comunidades.</w:t>
      </w:r>
    </w:p>
    <w:p>
      <w:pPr>
        <w:pStyle w:val="Heading3"/>
      </w:pPr>
      <w:bookmarkStart w:id="29" w:name="valores"/>
      <w:r>
        <w:t xml:space="preserve">2.3. Valores</w:t>
      </w:r>
      <w:bookmarkEnd w:id="29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Solidariedade Inovadora:</w:t>
      </w:r>
      <w:r>
        <w:t xml:space="preserve"> </w:t>
      </w:r>
      <w:r>
        <w:t xml:space="preserve">Compromisso com a justiça social aliado à busca constante por soluções criativas.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Transparência Radical:</w:t>
      </w:r>
      <w:r>
        <w:t xml:space="preserve"> </w:t>
      </w:r>
      <w:r>
        <w:t xml:space="preserve">Prestação de contas clara e acessível a todos os stakeholders.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Sustentabilidade Integral:</w:t>
      </w:r>
      <w:r>
        <w:t xml:space="preserve"> </w:t>
      </w:r>
      <w:r>
        <w:t xml:space="preserve">Práticas ambientalmente responsáveis e economicamente viáveis.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Inclusão Ativa:</w:t>
      </w:r>
      <w:r>
        <w:t xml:space="preserve"> </w:t>
      </w:r>
      <w:r>
        <w:t xml:space="preserve">Promoção da diversidade e da participação de todos.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Excelência:</w:t>
      </w:r>
      <w:r>
        <w:t xml:space="preserve"> </w:t>
      </w:r>
      <w:r>
        <w:t xml:space="preserve">Compromisso com a qualidade e o impacto mensurável.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análise-swot"/>
      <w:r>
        <w:t xml:space="preserve">3. ANÁLISE SWOT</w:t>
      </w:r>
      <w:bookmarkEnd w:id="30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FORÇAS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FRAQUEZAS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Equipa fundadora motivada e com competências complementares</w:t>
            </w:r>
          </w:p>
        </w:tc>
        <w:tc>
          <w:p>
            <w:pPr>
              <w:pStyle w:val="Compact"/>
              <w:jc w:val="left"/>
            </w:pPr>
            <w:r>
              <w:t xml:space="preserve">Organização recente, sem historial de atividade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Modelo de governança robusto e transparente</w:t>
            </w:r>
          </w:p>
        </w:tc>
        <w:tc>
          <w:p>
            <w:pPr>
              <w:pStyle w:val="Compact"/>
              <w:jc w:val="left"/>
            </w:pPr>
            <w:r>
              <w:t xml:space="preserve">Recursos financeiros limitados no arranque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Foco em áreas de elevado impacto social e alinhamento com ODS</w:t>
            </w:r>
          </w:p>
        </w:tc>
        <w:tc>
          <w:p>
            <w:pPr>
              <w:pStyle w:val="Compact"/>
              <w:jc w:val="left"/>
            </w:pPr>
            <w:r>
              <w:t xml:space="preserve">Notoriedade ainda reduzida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Abordagem inovadora e orientada para a sustentabilidade</w:t>
            </w:r>
          </w:p>
        </w:tc>
        <w:tc>
          <w:p>
            <w:pPr>
              <w:pStyle w:val="Compact"/>
              <w:jc w:val="left"/>
            </w:pPr>
            <w:r>
              <w:t xml:space="preserve">Dependência inicial de voluntariado</w:t>
            </w:r>
          </w:p>
        </w:tc>
      </w:tr>
    </w:tbl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OPORTUNIDADES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AMEAÇAS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Crescente procura por soluções de impacto social em Portugal</w:t>
            </w:r>
          </w:p>
        </w:tc>
        <w:tc>
          <w:p>
            <w:pPr>
              <w:pStyle w:val="Compact"/>
              <w:jc w:val="left"/>
            </w:pPr>
            <w:r>
              <w:t xml:space="preserve">Concorrência de IPSS estabelecidas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Disponibilidade de fundos europeus (Portugal 2030, PRR)</w:t>
            </w:r>
          </w:p>
        </w:tc>
        <w:tc>
          <w:p>
            <w:pPr>
              <w:pStyle w:val="Compact"/>
              <w:jc w:val="left"/>
            </w:pPr>
            <w:r>
              <w:t xml:space="preserve">Complexidade burocrática e morosidade nos processos de financiamento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Interesse crescente de empresas em ESG e responsabilidade social</w:t>
            </w:r>
          </w:p>
        </w:tc>
        <w:tc>
          <w:p>
            <w:pPr>
              <w:pStyle w:val="Compact"/>
              <w:jc w:val="left"/>
            </w:pPr>
            <w:r>
              <w:t xml:space="preserve">Instabilidade económica e redução de donativos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Parcerias com autarquias e setor privado</w:t>
            </w:r>
          </w:p>
        </w:tc>
        <w:tc>
          <w:p>
            <w:pPr>
              <w:pStyle w:val="Compact"/>
              <w:jc w:val="left"/>
            </w:pPr>
            <w:r>
              <w:t xml:space="preserve">Dificuldade em atrair e reter talento qualificado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objetivos-estratégicos-2026-2028"/>
      <w:r>
        <w:t xml:space="preserve">4. OBJETIVOS ESTRATÉGICOS 2026-2028</w:t>
      </w:r>
      <w:bookmarkEnd w:id="31"/>
    </w:p>
    <w:p>
      <w:pPr>
        <w:pStyle w:val="FirstParagraph"/>
      </w:pPr>
      <w:r>
        <w:t xml:space="preserve">O Plano Estratégico assenta em</w:t>
      </w:r>
      <w:r>
        <w:t xml:space="preserve"> </w:t>
      </w:r>
      <w:r>
        <w:rPr>
          <w:b/>
        </w:rPr>
        <w:t xml:space="preserve">cinco objetivos estratégicos</w:t>
      </w:r>
      <w:r>
        <w:t xml:space="preserve"> </w:t>
      </w:r>
      <w:r>
        <w:t xml:space="preserve">(OE), alinhados com as nossas áreas de atuação e com os Objetivos de Desenvolvimento Sustentável (ODS) da ONU.</w:t>
      </w:r>
    </w:p>
    <w:p>
      <w:pPr>
        <w:pStyle w:val="Heading3"/>
      </w:pPr>
      <w:bookmarkStart w:id="32" w:name="X34adf55da0689b0849a3112757ce9c95884767c"/>
      <w:r>
        <w:t xml:space="preserve">OE1: CONSOLIDAR A ESTRUTURA ORGANIZACIONAL E A GOVERNANÇA</w:t>
      </w:r>
      <w:bookmarkEnd w:id="32"/>
    </w:p>
    <w:p>
      <w:pPr>
        <w:pStyle w:val="FirstParagraph"/>
      </w:pPr>
      <w:r>
        <w:rPr>
          <w:b/>
        </w:rPr>
        <w:t xml:space="preserve">Meta:</w:t>
      </w:r>
      <w:r>
        <w:t xml:space="preserve"> </w:t>
      </w:r>
      <w:r>
        <w:t xml:space="preserve">Garantir a sustentabilidade institucional e a conformidade legal e regulamentar do Instituto.</w:t>
      </w:r>
    </w:p>
    <w:p>
      <w:pPr>
        <w:pStyle w:val="BodyText"/>
      </w:pPr>
      <w:r>
        <w:rPr>
          <w:b/>
        </w:rPr>
        <w:t xml:space="preserve">Indicadores:</w:t>
      </w:r>
      <w:r>
        <w:t xml:space="preserve"> </w:t>
      </w:r>
      <w:r>
        <w:t xml:space="preserve">- Obtenção do estatuto de IPSS até final de 2026</w:t>
      </w:r>
      <w:r>
        <w:t xml:space="preserve"> </w:t>
      </w:r>
      <w:r>
        <w:t xml:space="preserve">- Implementação de todos os regulamentos internos até 2026</w:t>
      </w:r>
      <w:r>
        <w:t xml:space="preserve"> </w:t>
      </w:r>
      <w:r>
        <w:t xml:space="preserve">- Certificação de qualidade (ex: EQUASS) até 2027</w:t>
      </w:r>
      <w:r>
        <w:t xml:space="preserve"> </w:t>
      </w:r>
      <w:r>
        <w:t xml:space="preserve">- Taxa de retenção de associados superior a 80%</w:t>
      </w:r>
    </w:p>
    <w:p>
      <w:pPr>
        <w:pStyle w:val="Heading3"/>
      </w:pPr>
      <w:bookmarkStart w:id="33" w:name="X495742926e5dc0b0dd25a73abdf82697be34fa8"/>
      <w:r>
        <w:t xml:space="preserve">OE2: DESENVOLVER PROJETOS DE IMPACTO EM HABITAÇÃO SOCIAL</w:t>
      </w:r>
      <w:bookmarkEnd w:id="33"/>
    </w:p>
    <w:p>
      <w:pPr>
        <w:pStyle w:val="FirstParagraph"/>
      </w:pPr>
      <w:r>
        <w:rPr>
          <w:b/>
        </w:rPr>
        <w:t xml:space="preserve">Meta:</w:t>
      </w:r>
      <w:r>
        <w:t xml:space="preserve"> </w:t>
      </w:r>
      <w:r>
        <w:t xml:space="preserve">Contribuir para a resolução da crise habitacional através da reabilitação de imóveis devolutos e da promoção de modelos inovadores de habitação acessível.</w:t>
      </w:r>
    </w:p>
    <w:p>
      <w:pPr>
        <w:pStyle w:val="BodyText"/>
      </w:pPr>
      <w:r>
        <w:rPr>
          <w:b/>
        </w:rPr>
        <w:t xml:space="preserve">Indicadores:</w:t>
      </w:r>
      <w:r>
        <w:t xml:space="preserve"> </w:t>
      </w:r>
      <w:r>
        <w:t xml:space="preserve">- Mapear 50 imóveis devolutos até 2026</w:t>
      </w:r>
      <w:r>
        <w:t xml:space="preserve"> </w:t>
      </w:r>
      <w:r>
        <w:t xml:space="preserve">- Reabilitar e alocar 3 imóveis a famílias carenciadas até 2027</w:t>
      </w:r>
      <w:r>
        <w:t xml:space="preserve"> </w:t>
      </w:r>
      <w:r>
        <w:t xml:space="preserve">- Estabelecer 2 protocolos com autarquias até 2026</w:t>
      </w:r>
      <w:r>
        <w:t xml:space="preserve"> </w:t>
      </w:r>
      <w:r>
        <w:t xml:space="preserve">- Beneficiar diretamente 15 famílias até 2027</w:t>
      </w:r>
    </w:p>
    <w:p>
      <w:pPr>
        <w:pStyle w:val="BodyText"/>
      </w:pPr>
      <w:r>
        <w:rPr>
          <w:b/>
        </w:rPr>
        <w:t xml:space="preserve">Alinhamento ODS:</w:t>
      </w:r>
      <w:r>
        <w:t xml:space="preserve"> </w:t>
      </w:r>
      <w:r>
        <w:t xml:space="preserve">ODS 11 (Cidades e Comunidades Sustentáveis)</w:t>
      </w:r>
    </w:p>
    <w:p>
      <w:pPr>
        <w:pStyle w:val="Heading3"/>
      </w:pPr>
      <w:bookmarkStart w:id="34" w:name="X3599fe699da90a483d7b35a824f9382c3527edd"/>
      <w:r>
        <w:t xml:space="preserve">OE3: CAPACITAR EMPREENDEDORES SOCIAIS E NEGÓCIOS DE IMPACTO</w:t>
      </w:r>
      <w:bookmarkEnd w:id="34"/>
    </w:p>
    <w:p>
      <w:pPr>
        <w:pStyle w:val="FirstParagraph"/>
      </w:pPr>
      <w:r>
        <w:rPr>
          <w:b/>
        </w:rPr>
        <w:t xml:space="preserve">Meta:</w:t>
      </w:r>
      <w:r>
        <w:t xml:space="preserve"> </w:t>
      </w:r>
      <w:r>
        <w:t xml:space="preserve">Fortalecer o ecossistema de empreendedorismo social em Portugal, capacitando empreendedores e apoiando a criação e o crescimento de negócios sociais.</w:t>
      </w:r>
    </w:p>
    <w:p>
      <w:pPr>
        <w:pStyle w:val="BodyText"/>
      </w:pPr>
      <w:r>
        <w:rPr>
          <w:b/>
        </w:rPr>
        <w:t xml:space="preserve">Indicadores:</w:t>
      </w:r>
      <w:r>
        <w:t xml:space="preserve"> </w:t>
      </w:r>
      <w:r>
        <w:t xml:space="preserve">- Realizar 6 edições do Bootcamp de Empreendedorismo Social (2 por ano)</w:t>
      </w:r>
      <w:r>
        <w:t xml:space="preserve"> </w:t>
      </w:r>
      <w:r>
        <w:t xml:space="preserve">- Capacitar 90 empreendedores sociais até 2027</w:t>
      </w:r>
      <w:r>
        <w:t xml:space="preserve"> </w:t>
      </w:r>
      <w:r>
        <w:t xml:space="preserve">- Incubar 10 negócios sociais até 2027</w:t>
      </w:r>
      <w:r>
        <w:t xml:space="preserve"> </w:t>
      </w:r>
      <w:r>
        <w:t xml:space="preserve">- Criar ou preservar 50 postos de trabalho através dos negócios apoiados</w:t>
      </w:r>
    </w:p>
    <w:p>
      <w:pPr>
        <w:pStyle w:val="BodyText"/>
      </w:pPr>
      <w:r>
        <w:rPr>
          <w:b/>
        </w:rPr>
        <w:t xml:space="preserve">Alinhamento ODS:</w:t>
      </w:r>
      <w:r>
        <w:t xml:space="preserve"> </w:t>
      </w:r>
      <w:r>
        <w:t xml:space="preserve">ODS 8 (Trabalho Digno e Crescimento Económico), ODS 9 (Indústria, Inovação e Infraestruturas)</w:t>
      </w:r>
    </w:p>
    <w:p>
      <w:pPr>
        <w:pStyle w:val="Heading3"/>
      </w:pPr>
      <w:bookmarkStart w:id="35" w:name="Xdede4f91d230bf97c837b4abed909c50f4fa202"/>
      <w:r>
        <w:t xml:space="preserve">OE4: PROMOVER A SUSTENTABILIDADE AMBIENTAL E OS PRINCÍPIOS ESG</w:t>
      </w:r>
      <w:bookmarkEnd w:id="35"/>
    </w:p>
    <w:p>
      <w:pPr>
        <w:pStyle w:val="FirstParagraph"/>
      </w:pPr>
      <w:r>
        <w:rPr>
          <w:b/>
        </w:rPr>
        <w:t xml:space="preserve">Meta:</w:t>
      </w:r>
      <w:r>
        <w:t xml:space="preserve"> </w:t>
      </w:r>
      <w:r>
        <w:t xml:space="preserve">Apoiar empresas e organizações na transição para práticas mais sustentáveis e na adoção de princípios ESG (Ambientais, Sociais e de Governança).</w:t>
      </w:r>
    </w:p>
    <w:p>
      <w:pPr>
        <w:pStyle w:val="BodyText"/>
      </w:pPr>
      <w:r>
        <w:rPr>
          <w:b/>
        </w:rPr>
        <w:t xml:space="preserve">Indicadores:</w:t>
      </w:r>
      <w:r>
        <w:t xml:space="preserve"> </w:t>
      </w:r>
      <w:r>
        <w:t xml:space="preserve">- Apoiar 30 PMEs na implementação de práticas ESG até 2027</w:t>
      </w:r>
      <w:r>
        <w:t xml:space="preserve"> </w:t>
      </w:r>
      <w:r>
        <w:t xml:space="preserve">- Realizar 12 workshops sobre sustentabilidade e economia circular</w:t>
      </w:r>
      <w:r>
        <w:t xml:space="preserve"> </w:t>
      </w:r>
      <w:r>
        <w:t xml:space="preserve">- Publicar 1 relatório anual de boas práticas ESG</w:t>
      </w:r>
      <w:r>
        <w:t xml:space="preserve"> </w:t>
      </w:r>
      <w:r>
        <w:t xml:space="preserve">- Estabelecer 1 parceria com universidade para investigação em sustentabilidade</w:t>
      </w:r>
    </w:p>
    <w:p>
      <w:pPr>
        <w:pStyle w:val="BodyText"/>
      </w:pPr>
      <w:r>
        <w:rPr>
          <w:b/>
        </w:rPr>
        <w:t xml:space="preserve">Alinhamento ODS:</w:t>
      </w:r>
      <w:r>
        <w:t xml:space="preserve"> </w:t>
      </w:r>
      <w:r>
        <w:t xml:space="preserve">ODS 12 (Produção e Consumo Sustentáveis), ODS 13 (Ação Climática)</w:t>
      </w:r>
    </w:p>
    <w:p>
      <w:pPr>
        <w:pStyle w:val="Heading3"/>
      </w:pPr>
      <w:bookmarkStart w:id="36" w:name="X18c02bb775cb327d6c15a4af2d22dbbb4745de8"/>
      <w:r>
        <w:t xml:space="preserve">OE5: FORTALECER A COMUNICAÇÃO, A NOTORIEDADE E A CAPTAÇÃO DE RECURSOS</w:t>
      </w:r>
      <w:bookmarkEnd w:id="36"/>
    </w:p>
    <w:p>
      <w:pPr>
        <w:pStyle w:val="FirstParagraph"/>
      </w:pPr>
      <w:r>
        <w:rPr>
          <w:b/>
        </w:rPr>
        <w:t xml:space="preserve">Meta:</w:t>
      </w:r>
      <w:r>
        <w:t xml:space="preserve"> </w:t>
      </w:r>
      <w:r>
        <w:t xml:space="preserve">Construir uma marca forte e reconhecida, aumentar a base de associados e diversificar as fontes de financiamento.</w:t>
      </w:r>
    </w:p>
    <w:p>
      <w:pPr>
        <w:pStyle w:val="BodyText"/>
      </w:pPr>
      <w:r>
        <w:rPr>
          <w:b/>
        </w:rPr>
        <w:t xml:space="preserve">Indicadores:</w:t>
      </w:r>
      <w:r>
        <w:t xml:space="preserve"> </w:t>
      </w:r>
      <w:r>
        <w:t xml:space="preserve">- Atingir 500 associados até 2027</w:t>
      </w:r>
      <w:r>
        <w:t xml:space="preserve"> </w:t>
      </w:r>
      <w:r>
        <w:t xml:space="preserve">- Captar € 500.000 em recursos (donativos, financiamentos, quotas) até 2027</w:t>
      </w:r>
      <w:r>
        <w:t xml:space="preserve"> </w:t>
      </w:r>
      <w:r>
        <w:t xml:space="preserve">- Alcançar 10.000 seguidores nas redes sociais até 2027</w:t>
      </w:r>
      <w:r>
        <w:t xml:space="preserve"> </w:t>
      </w:r>
      <w:r>
        <w:t xml:space="preserve">- Estabelecer 10 parcerias estratégicas com empresas e fundações</w:t>
      </w:r>
    </w:p>
    <w:p>
      <w:pPr>
        <w:pStyle w:val="BodyText"/>
      </w:pPr>
      <w:r>
        <w:rPr>
          <w:b/>
        </w:rPr>
        <w:t xml:space="preserve">Alinhamento ODS:</w:t>
      </w:r>
      <w:r>
        <w:t xml:space="preserve"> </w:t>
      </w:r>
      <w:r>
        <w:t xml:space="preserve">ODS 17 (Parcerias para a Implementação dos Objetivos)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plano-de-ação-por-ano"/>
      <w:r>
        <w:t xml:space="preserve">5. PLANO DE AÇÃO POR ANO</w:t>
      </w:r>
      <w:bookmarkEnd w:id="37"/>
    </w:p>
    <w:p>
      <w:pPr>
        <w:pStyle w:val="Heading3"/>
      </w:pPr>
      <w:bookmarkStart w:id="38" w:name="ano-1-2026-estruturação-e-lançamento"/>
      <w:r>
        <w:t xml:space="preserve">ANO 1 (2026): ESTRUTURAÇÃO E LANÇAMENTO</w:t>
      </w:r>
      <w:bookmarkEnd w:id="38"/>
    </w:p>
    <w:p>
      <w:pPr>
        <w:pStyle w:val="FirstParagraph"/>
      </w:pPr>
      <w:r>
        <w:rPr>
          <w:b/>
        </w:rPr>
        <w:t xml:space="preserve">Foco:</w:t>
      </w:r>
      <w:r>
        <w:t xml:space="preserve"> </w:t>
      </w:r>
      <w:r>
        <w:t xml:space="preserve">Consolidar a base operacional, lançar os primeiros projetos-piloto e construir notoriedade.</w:t>
      </w:r>
    </w:p>
    <w:p>
      <w:pPr>
        <w:pStyle w:val="BodyText"/>
      </w:pPr>
      <w:r>
        <w:rPr>
          <w:b/>
        </w:rPr>
        <w:t xml:space="preserve">Principais Ações:</w:t>
      </w:r>
      <w:r>
        <w:t xml:space="preserve"> </w:t>
      </w:r>
      <w:r>
        <w:t xml:space="preserve">- Concluir o registo como IPSS</w:t>
      </w:r>
      <w:r>
        <w:t xml:space="preserve"> </w:t>
      </w:r>
      <w:r>
        <w:t xml:space="preserve">- Lançar o website e as redes sociais</w:t>
      </w:r>
      <w:r>
        <w:t xml:space="preserve"> </w:t>
      </w:r>
      <w:r>
        <w:t xml:space="preserve">- Realizar o primeiro Bootcamp de Empreendedorismo Social</w:t>
      </w:r>
      <w:r>
        <w:t xml:space="preserve"> </w:t>
      </w:r>
      <w:r>
        <w:t xml:space="preserve">- Mapear 10 imóveis devolutos em Lisboa</w:t>
      </w:r>
      <w:r>
        <w:t xml:space="preserve"> </w:t>
      </w:r>
      <w:r>
        <w:t xml:space="preserve">- Estabelecer 1 protocolo com uma autarquia</w:t>
      </w:r>
      <w:r>
        <w:t xml:space="preserve"> </w:t>
      </w:r>
      <w:r>
        <w:t xml:space="preserve">- Atingir 50 associados</w:t>
      </w:r>
      <w:r>
        <w:t xml:space="preserve"> </w:t>
      </w:r>
      <w:r>
        <w:t xml:space="preserve">- Captar € 30.000</w:t>
      </w:r>
    </w:p>
    <w:p>
      <w:pPr>
        <w:pStyle w:val="Heading3"/>
      </w:pPr>
      <w:bookmarkStart w:id="39" w:name="ano-2-2026-consolidação-e-crescimento"/>
      <w:r>
        <w:t xml:space="preserve">ANO 2 (2026): CONSOLIDAÇÃO E CRESCIMENTO</w:t>
      </w:r>
      <w:bookmarkEnd w:id="39"/>
    </w:p>
    <w:p>
      <w:pPr>
        <w:pStyle w:val="FirstParagraph"/>
      </w:pPr>
      <w:r>
        <w:rPr>
          <w:b/>
        </w:rPr>
        <w:t xml:space="preserve">Foco:</w:t>
      </w:r>
      <w:r>
        <w:t xml:space="preserve"> </w:t>
      </w:r>
      <w:r>
        <w:t xml:space="preserve">Escalar os projetos-piloto, aumentar a base de associados e reforçar a equipa.</w:t>
      </w:r>
    </w:p>
    <w:p>
      <w:pPr>
        <w:pStyle w:val="BodyText"/>
      </w:pPr>
      <w:r>
        <w:rPr>
          <w:b/>
        </w:rPr>
        <w:t xml:space="preserve">Principais Ações:</w:t>
      </w:r>
      <w:r>
        <w:t xml:space="preserve"> </w:t>
      </w:r>
      <w:r>
        <w:t xml:space="preserve">- Reabilitar o primeiro imóvel para habitação social</w:t>
      </w:r>
      <w:r>
        <w:t xml:space="preserve"> </w:t>
      </w:r>
      <w:r>
        <w:t xml:space="preserve">- Realizar 2 edições do Bootcamp</w:t>
      </w:r>
      <w:r>
        <w:t xml:space="preserve"> </w:t>
      </w:r>
      <w:r>
        <w:t xml:space="preserve">- Incubar os primeiros 3 negócios sociais</w:t>
      </w:r>
      <w:r>
        <w:t xml:space="preserve"> </w:t>
      </w:r>
      <w:r>
        <w:t xml:space="preserve">- Apoiar 10 PMEs em práticas ESG</w:t>
      </w:r>
      <w:r>
        <w:t xml:space="preserve"> </w:t>
      </w:r>
      <w:r>
        <w:t xml:space="preserve">- Contratar o primeiro colaborador a tempo inteiro (Gestor de Projetos)</w:t>
      </w:r>
      <w:r>
        <w:t xml:space="preserve"> </w:t>
      </w:r>
      <w:r>
        <w:t xml:space="preserve">- Atingir 200 associados</w:t>
      </w:r>
      <w:r>
        <w:t xml:space="preserve"> </w:t>
      </w:r>
      <w:r>
        <w:t xml:space="preserve">- Captar € 150.000</w:t>
      </w:r>
    </w:p>
    <w:p>
      <w:pPr>
        <w:pStyle w:val="Heading3"/>
      </w:pPr>
      <w:bookmarkStart w:id="40" w:name="ano-3-2027-expansão-e-impacto"/>
      <w:r>
        <w:t xml:space="preserve">ANO 3 (2027): EXPANSÃO E IMPACTO</w:t>
      </w:r>
      <w:bookmarkEnd w:id="40"/>
    </w:p>
    <w:p>
      <w:pPr>
        <w:pStyle w:val="FirstParagraph"/>
      </w:pPr>
      <w:r>
        <w:rPr>
          <w:b/>
        </w:rPr>
        <w:t xml:space="preserve">Foco:</w:t>
      </w:r>
      <w:r>
        <w:t xml:space="preserve"> </w:t>
      </w:r>
      <w:r>
        <w:t xml:space="preserve">Expandir o alcance geográfico e temático, consolidar parcerias e demonstrar impacto mensurável.</w:t>
      </w:r>
    </w:p>
    <w:p>
      <w:pPr>
        <w:pStyle w:val="BodyText"/>
      </w:pPr>
      <w:r>
        <w:rPr>
          <w:b/>
        </w:rPr>
        <w:t xml:space="preserve">Principais Ações:</w:t>
      </w:r>
      <w:r>
        <w:t xml:space="preserve"> </w:t>
      </w:r>
      <w:r>
        <w:t xml:space="preserve">- Reabilitar 2 imóveis adicionais</w:t>
      </w:r>
      <w:r>
        <w:t xml:space="preserve"> </w:t>
      </w:r>
      <w:r>
        <w:t xml:space="preserve">- Realizar 2 edições do Bootcamp</w:t>
      </w:r>
      <w:r>
        <w:t xml:space="preserve"> </w:t>
      </w:r>
      <w:r>
        <w:t xml:space="preserve">- Incubar 7 negócios sociais adicionais</w:t>
      </w:r>
      <w:r>
        <w:t xml:space="preserve"> </w:t>
      </w:r>
      <w:r>
        <w:t xml:space="preserve">- Apoiar 20 PMEs adicionais em ESG</w:t>
      </w:r>
      <w:r>
        <w:t xml:space="preserve"> </w:t>
      </w:r>
      <w:r>
        <w:t xml:space="preserve">- Publicar o primeiro Relatório de Impacto Social</w:t>
      </w:r>
      <w:r>
        <w:t xml:space="preserve"> </w:t>
      </w:r>
      <w:r>
        <w:t xml:space="preserve">- Atingir 500 associados</w:t>
      </w:r>
      <w:r>
        <w:t xml:space="preserve"> </w:t>
      </w:r>
      <w:r>
        <w:t xml:space="preserve">- Captar € 320.000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modelo-de-sustentabilidade-financeira"/>
      <w:r>
        <w:t xml:space="preserve">6. MODELO DE SUSTENTABILIDADE FINANCEIRA</w:t>
      </w:r>
      <w:bookmarkEnd w:id="41"/>
    </w:p>
    <w:p>
      <w:pPr>
        <w:pStyle w:val="FirstParagraph"/>
      </w:pPr>
      <w:r>
        <w:t xml:space="preserve">O Instituto adotará um modelo de sustentabilidade financeira assente na diversificação de fontes de receita: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Fonte de Receita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% Esperado em 2027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Quotas de Associados</w:t>
            </w:r>
          </w:p>
        </w:tc>
        <w:tc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Donativos de Particulares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Patrocínios Empresariais</w:t>
            </w:r>
          </w:p>
        </w:tc>
        <w:tc>
          <w:p>
            <w:pPr>
              <w:pStyle w:val="Compact"/>
              <w:jc w:val="left"/>
            </w:pPr>
            <w:r>
              <w:t xml:space="preserve">25%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Financiamentos Públicos (Portugal 2030, PRR, etc.)</w:t>
            </w:r>
          </w:p>
        </w:tc>
        <w:tc>
          <w:p>
            <w:pPr>
              <w:pStyle w:val="Compact"/>
              <w:jc w:val="left"/>
            </w:pPr>
            <w:r>
              <w:t xml:space="preserve">40%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Receitas de Serviços (Formações, Consultorias ESG)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</w:tr>
    </w:tbl>
    <w:p>
      <w:pPr>
        <w:pStyle w:val="BodyText"/>
      </w:pPr>
      <w:r>
        <w:rPr>
          <w:b/>
        </w:rPr>
        <w:t xml:space="preserve">Meta de Orçamento Anual em 2027:</w:t>
      </w:r>
      <w:r>
        <w:t xml:space="preserve"> </w:t>
      </w:r>
      <w:r>
        <w:t xml:space="preserve">€ 250.000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governança-e-gestão-de-riscos"/>
      <w:r>
        <w:t xml:space="preserve">7. GOVERNANÇA E GESTÃO DE RISCOS</w:t>
      </w:r>
      <w:bookmarkEnd w:id="42"/>
    </w:p>
    <w:p>
      <w:pPr>
        <w:pStyle w:val="Heading3"/>
      </w:pPr>
      <w:bookmarkStart w:id="43" w:name="modelo-de-governança"/>
      <w:r>
        <w:t xml:space="preserve">7.1. Modelo de Governança</w:t>
      </w:r>
      <w:bookmarkEnd w:id="43"/>
    </w:p>
    <w:p>
      <w:pPr>
        <w:pStyle w:val="FirstParagraph"/>
      </w:pPr>
      <w:r>
        <w:t xml:space="preserve">O Instituto manterá um modelo de governança robusto, com clara separação entre os órgãos de decisão (Assembleia Geral), de gestão (Direção) e de fiscalização (Conselho Fiscal).</w:t>
      </w:r>
    </w:p>
    <w:p>
      <w:pPr>
        <w:pStyle w:val="Heading3"/>
      </w:pPr>
      <w:bookmarkStart w:id="44" w:name="principais-riscos-e-mitigação"/>
      <w:r>
        <w:t xml:space="preserve">7.2. Principais Riscos e Mitigação</w:t>
      </w:r>
      <w:bookmarkEnd w:id="4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Probabilidade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Falha na captação de financiamentos</w:t>
            </w:r>
          </w:p>
        </w:tc>
        <w:tc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p>
            <w:pPr>
              <w:pStyle w:val="Compact"/>
              <w:jc w:val="left"/>
            </w:pPr>
            <w:r>
              <w:t xml:space="preserve">Diversificação de fontes; candidaturas múltiplas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Dificuldade em atrair associados</w:t>
            </w:r>
          </w:p>
        </w:tc>
        <w:tc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p>
            <w:pPr>
              <w:pStyle w:val="Compact"/>
              <w:jc w:val="left"/>
            </w:pPr>
            <w:r>
              <w:t xml:space="preserve">Campanha de comunicação forte; benefícios claros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Perda de reputação</w:t>
            </w:r>
          </w:p>
        </w:tc>
        <w:tc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p>
            <w:pPr>
              <w:pStyle w:val="Compact"/>
              <w:jc w:val="left"/>
            </w:pPr>
            <w:r>
              <w:t xml:space="preserve">Muito Alto</w:t>
            </w:r>
          </w:p>
        </w:tc>
        <w:tc>
          <w:p>
            <w:pPr>
              <w:pStyle w:val="Compact"/>
              <w:jc w:val="left"/>
            </w:pPr>
            <w:r>
              <w:t xml:space="preserve">Transparência radical; Código de Conduta rigoroso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Dependência de voluntariado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p>
            <w:pPr>
              <w:pStyle w:val="Compact"/>
              <w:jc w:val="left"/>
            </w:pPr>
            <w:r>
              <w:t xml:space="preserve">Contratação progressiva de equipa profissional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monitorização-e-avaliação"/>
      <w:r>
        <w:t xml:space="preserve">8. MONITORIZAÇÃO E AVALIAÇÃO</w:t>
      </w:r>
      <w:bookmarkEnd w:id="45"/>
    </w:p>
    <w:p>
      <w:pPr>
        <w:pStyle w:val="FirstParagraph"/>
      </w:pPr>
      <w:r>
        <w:t xml:space="preserve">O Plano Estratégico será monitorizado de forma contínua pela Direção, com reportes trimestrais ao Conselho Fiscal e reportes anuais à Assembleia Geral.</w:t>
      </w:r>
    </w:p>
    <w:p>
      <w:pPr>
        <w:pStyle w:val="BodyText"/>
      </w:pPr>
      <w:r>
        <w:rPr>
          <w:b/>
        </w:rPr>
        <w:t xml:space="preserve">Instrumentos de Monitorização:</w:t>
      </w:r>
      <w:r>
        <w:t xml:space="preserve"> </w:t>
      </w:r>
      <w:r>
        <w:t xml:space="preserve">- Dashboard de indicadores estratégicos</w:t>
      </w:r>
      <w:r>
        <w:t xml:space="preserve"> </w:t>
      </w:r>
      <w:r>
        <w:t xml:space="preserve">- Relatórios trimestrais de progresso</w:t>
      </w:r>
      <w:r>
        <w:t xml:space="preserve"> </w:t>
      </w:r>
      <w:r>
        <w:t xml:space="preserve">- Avaliação externa de impacto (a realizar em 2027)</w:t>
      </w:r>
      <w:r>
        <w:t xml:space="preserve"> </w:t>
      </w:r>
      <w:r>
        <w:t xml:space="preserve">- Inquéritos de satisfação a associados e beneficiários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conclusão"/>
      <w:r>
        <w:t xml:space="preserve">9. CONCLUSÃO</w:t>
      </w:r>
      <w:bookmarkEnd w:id="46"/>
    </w:p>
    <w:p>
      <w:pPr>
        <w:pStyle w:val="FirstParagraph"/>
      </w:pPr>
      <w:r>
        <w:t xml:space="preserve">O Plano Estratégico Trienal 2026-2028 é ambicioso, mas realista. Assenta numa análise rigorosa do contexto, numa visão clara do futuro e num compromisso inabalável com a missão do Instituto.</w:t>
      </w:r>
    </w:p>
    <w:p>
      <w:pPr>
        <w:pStyle w:val="BodyText"/>
      </w:pPr>
      <w:r>
        <w:t xml:space="preserve">O sucesso deste plano dependerá do empenho de todos os associados, da qualidade das parcerias que construirmos e da nossa capacidade de inovar e de nos adaptarmos a um contexto em constante mudança.</w:t>
      </w:r>
    </w:p>
    <w:p>
      <w:pPr>
        <w:pStyle w:val="BodyText"/>
      </w:pPr>
      <w:r>
        <w:t xml:space="preserve">Juntos, podemos fazer a diferença.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A Direção,</w:t>
      </w:r>
    </w:p>
    <w:p>
      <w:pPr>
        <w:pStyle w:val="BodyText"/>
      </w:pPr>
      <w:r>
        <w:t xml:space="preserve">Lisboa, 21 de outubro de 2026.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(António, Presidente)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(Marcos, Secretário)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(Diego, Tesoureiro)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2025-10-11T20:09:25Z</dcterms:created>
  <dcterms:modified xsi:type="dcterms:W3CDTF">2025-10-11T20:09:25Z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