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i/>
        </w:rPr>
        <w:t xml:space="preserve">[Rascunho para aprovação da Direção]</w:t>
      </w:r>
    </w:p>
    <w:p>
      <w:pPr>
        <w:pStyle w:val="Heading1"/>
      </w:pPr>
      <w:bookmarkStart w:id="20" w:name="Xa652270de89968e84652992cba5ce6ff0550e69"/>
      <w:r>
        <w:t xml:space="preserve">REGULAMENTO INTERNO DO INSTITUTO PORTUGUÊS DE NEGÓCIOS SOCIAIS – BUREAU SOCIAL</w:t>
      </w:r>
      <w:bookmarkEnd w:id="20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reâmbulo"/>
      <w:r>
        <w:t xml:space="preserve">PREÂMBULO</w:t>
      </w:r>
      <w:bookmarkEnd w:id="21"/>
    </w:p>
    <w:p>
      <w:pPr>
        <w:pStyle w:val="FirstParagraph"/>
      </w:pPr>
      <w:r>
        <w:t xml:space="preserve">O presente Regulamento Interno visa complementar e detalhar as disposições dos Estatutos do</w:t>
      </w:r>
      <w:r>
        <w:t xml:space="preserve"> </w:t>
      </w:r>
      <w:r>
        <w:rPr>
          <w:b/>
        </w:rPr>
        <w:t xml:space="preserve">Instituto Português de Negócios Sociais – Bureau Social</w:t>
      </w:r>
      <w:r>
        <w:t xml:space="preserve">, doravante designado por</w:t>
      </w:r>
      <w:r>
        <w:t xml:space="preserve"> </w:t>
      </w:r>
      <w:r>
        <w:t xml:space="preserve">“</w:t>
      </w:r>
      <w:r>
        <w:t xml:space="preserve">Instituto</w:t>
      </w:r>
      <w:r>
        <w:t xml:space="preserve">”</w:t>
      </w:r>
      <w:r>
        <w:t xml:space="preserve">, estabelecendo as normas de funcionamento dos seus órgãos sociais, os procedimentos administrativos e financeiros, e os direitos e deveres dos seus associados e colaboradores, em conformidade com a legislação aplicável às Instituições Particulares de Solidariedade Social (IPSS).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apítulo-i-disposições-gerais"/>
      <w:r>
        <w:t xml:space="preserve">CAPÍTULO I – DISPOSIÇÕES GERAIS</w:t>
      </w:r>
      <w:bookmarkEnd w:id="22"/>
    </w:p>
    <w:p>
      <w:pPr>
        <w:pStyle w:val="Heading3"/>
      </w:pPr>
      <w:bookmarkStart w:id="23" w:name="artigo-1.º"/>
      <w:r>
        <w:t xml:space="preserve">Artigo 1.º</w:t>
      </w:r>
      <w:bookmarkEnd w:id="23"/>
    </w:p>
    <w:p>
      <w:pPr>
        <w:pStyle w:val="FirstParagraph"/>
      </w:pPr>
      <w:r>
        <w:rPr>
          <w:b/>
        </w:rPr>
        <w:t xml:space="preserve">(Objeto e Âmbito)</w:t>
      </w:r>
    </w:p>
    <w:p>
      <w:pPr>
        <w:numPr>
          <w:ilvl w:val="0"/>
          <w:numId w:val="1001"/>
        </w:numPr>
        <w:pStyle w:val="Compact"/>
      </w:pPr>
      <w:r>
        <w:t xml:space="preserve">Este regulamento aplica-se a todos os titulares dos órgãos sociais, associados, colaboradores e voluntários do Instituto.</w:t>
      </w:r>
    </w:p>
    <w:p>
      <w:pPr>
        <w:numPr>
          <w:ilvl w:val="0"/>
          <w:numId w:val="1001"/>
        </w:numPr>
        <w:pStyle w:val="Compact"/>
      </w:pPr>
      <w:r>
        <w:t xml:space="preserve">As disposições deste regulamento são de cumprimento obrigatório e prevalecem sobre quaisquer outras normas internas, com exceção dos Estatutos.</w:t>
      </w:r>
    </w:p>
    <w:p>
      <w:pPr>
        <w:numPr>
          <w:ilvl w:val="0"/>
          <w:numId w:val="1001"/>
        </w:numPr>
        <w:pStyle w:val="Compact"/>
      </w:pPr>
      <w:r>
        <w:t xml:space="preserve">As lacunas e omissões serão resolvidas pela Direção, em conformidade com os Estatutos e a legislação em vigor.</w:t>
      </w:r>
    </w:p>
    <w:p>
      <w:pPr>
        <w:pStyle w:val="Heading3"/>
      </w:pPr>
      <w:bookmarkStart w:id="24" w:name="artigo-2.º"/>
      <w:r>
        <w:t xml:space="preserve">Artigo 2.º</w:t>
      </w:r>
      <w:bookmarkEnd w:id="24"/>
    </w:p>
    <w:p>
      <w:pPr>
        <w:pStyle w:val="FirstParagraph"/>
      </w:pPr>
      <w:r>
        <w:rPr>
          <w:b/>
        </w:rPr>
        <w:t xml:space="preserve">(Princípios Gerais)</w:t>
      </w:r>
    </w:p>
    <w:p>
      <w:pPr>
        <w:pStyle w:val="BodyText"/>
      </w:pPr>
      <w:r>
        <w:t xml:space="preserve">O funcionamento do Instituto rege-se pelos princípios da gestão democrática, da transparência, da participação, da solidariedade, da inovação social e da sustentabilidade, conforme detalhado no Código de Conduta e Ética.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capítulo-ii-dos-associados"/>
      <w:r>
        <w:t xml:space="preserve">CAPÍTULO II – DOS ASSOCIADOS</w:t>
      </w:r>
      <w:bookmarkEnd w:id="25"/>
    </w:p>
    <w:p>
      <w:pPr>
        <w:pStyle w:val="Heading3"/>
      </w:pPr>
      <w:bookmarkStart w:id="26" w:name="artigo-3.º"/>
      <w:r>
        <w:t xml:space="preserve">Artigo 3.º</w:t>
      </w:r>
      <w:bookmarkEnd w:id="26"/>
    </w:p>
    <w:p>
      <w:pPr>
        <w:pStyle w:val="FirstParagraph"/>
      </w:pPr>
      <w:r>
        <w:rPr>
          <w:b/>
        </w:rPr>
        <w:t xml:space="preserve">(Processo de Admissão)</w:t>
      </w:r>
    </w:p>
    <w:p>
      <w:pPr>
        <w:numPr>
          <w:ilvl w:val="0"/>
          <w:numId w:val="1002"/>
        </w:numPr>
        <w:pStyle w:val="Compact"/>
      </w:pPr>
      <w:r>
        <w:t xml:space="preserve">A admissão de novos associados efetua-se mediante o preenchimento da</w:t>
      </w:r>
      <w:r>
        <w:t xml:space="preserve"> </w:t>
      </w:r>
      <w:r>
        <w:rPr>
          <w:b/>
        </w:rPr>
        <w:t xml:space="preserve">Ficha de Candidatura a Associado</w:t>
      </w:r>
      <w:r>
        <w:t xml:space="preserve"> </w:t>
      </w:r>
      <w:r>
        <w:t xml:space="preserve">e a sua submissão à Direção.</w:t>
      </w:r>
    </w:p>
    <w:p>
      <w:pPr>
        <w:numPr>
          <w:ilvl w:val="0"/>
          <w:numId w:val="1002"/>
        </w:numPr>
        <w:pStyle w:val="Compact"/>
      </w:pPr>
      <w:r>
        <w:t xml:space="preserve">A candidatura deve ser acompanhada de uma carta de motivação e, se aplicável, de um currículo vitae.</w:t>
      </w:r>
    </w:p>
    <w:p>
      <w:pPr>
        <w:numPr>
          <w:ilvl w:val="0"/>
          <w:numId w:val="1002"/>
        </w:numPr>
        <w:pStyle w:val="Compact"/>
      </w:pPr>
      <w:r>
        <w:t xml:space="preserve">A Direção deliberará sobre a admissão no prazo máximo de 30 (trinta) dias, comunicando a sua decisão ao candidato por via eletrónica.</w:t>
      </w:r>
    </w:p>
    <w:p>
      <w:pPr>
        <w:numPr>
          <w:ilvl w:val="0"/>
          <w:numId w:val="1002"/>
        </w:numPr>
        <w:pStyle w:val="Compact"/>
      </w:pPr>
      <w:r>
        <w:t xml:space="preserve">Da decisão de não admissão cabe recurso para a Assembleia Geral, a interpor no prazo de 15 (quinze) dias após a notificação.</w:t>
      </w:r>
    </w:p>
    <w:p>
      <w:pPr>
        <w:numPr>
          <w:ilvl w:val="0"/>
          <w:numId w:val="1002"/>
        </w:numPr>
        <w:pStyle w:val="Compact"/>
      </w:pPr>
      <w:r>
        <w:t xml:space="preserve">Após a admissão, o novo associado deverá assinar o</w:t>
      </w:r>
      <w:r>
        <w:t xml:space="preserve"> </w:t>
      </w:r>
      <w:r>
        <w:rPr>
          <w:b/>
        </w:rPr>
        <w:t xml:space="preserve">Termo de Adesão</w:t>
      </w:r>
      <w:r>
        <w:t xml:space="preserve"> </w:t>
      </w:r>
      <w:r>
        <w:t xml:space="preserve">e proceder ao pagamento da primeira quota, quando aplicável.</w:t>
      </w:r>
    </w:p>
    <w:p>
      <w:pPr>
        <w:pStyle w:val="Heading3"/>
      </w:pPr>
      <w:bookmarkStart w:id="27" w:name="artigo-4.º"/>
      <w:r>
        <w:t xml:space="preserve">Artigo 4.º</w:t>
      </w:r>
      <w:bookmarkEnd w:id="27"/>
    </w:p>
    <w:p>
      <w:pPr>
        <w:pStyle w:val="FirstParagraph"/>
      </w:pPr>
      <w:r>
        <w:rPr>
          <w:b/>
        </w:rPr>
        <w:t xml:space="preserve">(Quotas e Contribuições)</w:t>
      </w:r>
    </w:p>
    <w:p>
      <w:pPr>
        <w:numPr>
          <w:ilvl w:val="0"/>
          <w:numId w:val="1003"/>
        </w:numPr>
        <w:pStyle w:val="Compact"/>
      </w:pPr>
      <w:r>
        <w:t xml:space="preserve">Os valores, a periodicidade e os métodos de pagamento das quotas são definidos no</w:t>
      </w:r>
      <w:r>
        <w:t xml:space="preserve"> </w:t>
      </w:r>
      <w:r>
        <w:rPr>
          <w:b/>
        </w:rPr>
        <w:t xml:space="preserve">Regulamento de Quotas e Contribuições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O não pagamento de quotas por um período superior a 6 (seis) meses, após notificação para regularização, poderá levar à suspensão dos direitos do associado, nos termos dos Estatutos.</w:t>
      </w:r>
    </w:p>
    <w:p>
      <w:pPr>
        <w:pStyle w:val="Heading3"/>
      </w:pPr>
      <w:bookmarkStart w:id="28" w:name="artigo-5.º"/>
      <w:r>
        <w:t xml:space="preserve">Artigo 5.º</w:t>
      </w:r>
      <w:bookmarkEnd w:id="28"/>
    </w:p>
    <w:p>
      <w:pPr>
        <w:pStyle w:val="FirstParagraph"/>
      </w:pPr>
      <w:r>
        <w:rPr>
          <w:b/>
        </w:rPr>
        <w:t xml:space="preserve">(Direitos e Deveres)</w:t>
      </w:r>
    </w:p>
    <w:p>
      <w:pPr>
        <w:numPr>
          <w:ilvl w:val="0"/>
          <w:numId w:val="1004"/>
        </w:numPr>
        <w:pStyle w:val="Compact"/>
      </w:pPr>
      <w:r>
        <w:t xml:space="preserve">Os direitos e deveres dos associados são os estabelecidos nos Estatutos e no</w:t>
      </w:r>
      <w:r>
        <w:t xml:space="preserve"> </w:t>
      </w:r>
      <w:r>
        <w:rPr>
          <w:b/>
        </w:rPr>
        <w:t xml:space="preserve">Manual do Associado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É dever de todos os associados manter os seus dados de contacto atualizados junto da Secretaria.</w:t>
      </w:r>
    </w:p>
    <w:p>
      <w:pPr>
        <w:pStyle w:val="Heading3"/>
      </w:pPr>
      <w:bookmarkStart w:id="29" w:name="artigo-6.º"/>
      <w:r>
        <w:t xml:space="preserve">Artigo 6.º</w:t>
      </w:r>
      <w:bookmarkEnd w:id="29"/>
    </w:p>
    <w:p>
      <w:pPr>
        <w:pStyle w:val="FirstParagraph"/>
      </w:pPr>
      <w:r>
        <w:rPr>
          <w:b/>
        </w:rPr>
        <w:t xml:space="preserve">(Processo Disciplinar)</w:t>
      </w:r>
    </w:p>
    <w:p>
      <w:pPr>
        <w:numPr>
          <w:ilvl w:val="0"/>
          <w:numId w:val="1005"/>
        </w:numPr>
        <w:pStyle w:val="Compact"/>
      </w:pPr>
      <w:r>
        <w:t xml:space="preserve">A violação grave dos deveres estatutários ou regulamentares por parte de um associado poderá dar início a um processo disciplinar, conduzido pela Direção.</w:t>
      </w:r>
    </w:p>
    <w:p>
      <w:pPr>
        <w:numPr>
          <w:ilvl w:val="0"/>
          <w:numId w:val="1005"/>
        </w:numPr>
        <w:pStyle w:val="Compact"/>
      </w:pPr>
      <w:r>
        <w:t xml:space="preserve">O processo disciplinar garante o direito de audição e defesa do associado.</w:t>
      </w:r>
    </w:p>
    <w:p>
      <w:pPr>
        <w:numPr>
          <w:ilvl w:val="0"/>
          <w:numId w:val="1005"/>
        </w:numPr>
        <w:pStyle w:val="Compact"/>
      </w:pPr>
      <w:r>
        <w:t xml:space="preserve">As sanções aplicáveis, que podem ir desde a advertência até à exclusão, serão deliberadas em conformidade com os Estatutos.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capítulo-iii-dos-órgãos-sociais"/>
      <w:r>
        <w:t xml:space="preserve">CAPÍTULO III – DOS ÓRGÃOS SOCIAIS</w:t>
      </w:r>
      <w:bookmarkEnd w:id="30"/>
    </w:p>
    <w:p>
      <w:pPr>
        <w:pStyle w:val="Heading3"/>
      </w:pPr>
      <w:bookmarkStart w:id="31" w:name="artigo-7.º"/>
      <w:r>
        <w:t xml:space="preserve">Artigo 7.º</w:t>
      </w:r>
      <w:bookmarkEnd w:id="31"/>
    </w:p>
    <w:p>
      <w:pPr>
        <w:pStyle w:val="FirstParagraph"/>
      </w:pPr>
      <w:r>
        <w:rPr>
          <w:b/>
        </w:rPr>
        <w:t xml:space="preserve">(Funcionamento Geral)</w:t>
      </w:r>
    </w:p>
    <w:p>
      <w:pPr>
        <w:numPr>
          <w:ilvl w:val="0"/>
          <w:numId w:val="1006"/>
        </w:numPr>
        <w:pStyle w:val="Compact"/>
      </w:pPr>
      <w:r>
        <w:t xml:space="preserve">As reuniões dos órgãos sociais podem ser realizadas presencialmente, na sede do Instituto, ou por meios telemáticos que garantam a verificação da identidade dos participantes e a autenticidade das suas declarações.</w:t>
      </w:r>
    </w:p>
    <w:p>
      <w:pPr>
        <w:numPr>
          <w:ilvl w:val="0"/>
          <w:numId w:val="1006"/>
        </w:numPr>
        <w:pStyle w:val="Compact"/>
      </w:pPr>
      <w:r>
        <w:t xml:space="preserve">As convocatórias para as reuniões serão enviadas por correio eletrónico com uma antecedência mínima de 8 (oito) dias, salvo casos de urgência devidamente fundamentados.</w:t>
      </w:r>
    </w:p>
    <w:p>
      <w:pPr>
        <w:numPr>
          <w:ilvl w:val="0"/>
          <w:numId w:val="1006"/>
        </w:numPr>
        <w:pStyle w:val="Compact"/>
      </w:pPr>
      <w:r>
        <w:t xml:space="preserve">De todas as reuniões será lavrada uma ata, a ser aprovada no final da própria reunião ou no início da reunião seguinte.</w:t>
      </w:r>
    </w:p>
    <w:p>
      <w:pPr>
        <w:pStyle w:val="Heading3"/>
      </w:pPr>
      <w:bookmarkStart w:id="32" w:name="artigo-8.º"/>
      <w:r>
        <w:t xml:space="preserve">Artigo 8.º</w:t>
      </w:r>
      <w:bookmarkEnd w:id="32"/>
    </w:p>
    <w:p>
      <w:pPr>
        <w:pStyle w:val="FirstParagraph"/>
      </w:pPr>
      <w:r>
        <w:rPr>
          <w:b/>
        </w:rPr>
        <w:t xml:space="preserve">(Assembleia Geral)</w:t>
      </w:r>
    </w:p>
    <w:p>
      <w:pPr>
        <w:numPr>
          <w:ilvl w:val="0"/>
          <w:numId w:val="1007"/>
        </w:numPr>
        <w:pStyle w:val="Compact"/>
      </w:pPr>
      <w:r>
        <w:t xml:space="preserve">A Assembleia Geral é convocada pelo seu Presidente, por iniciativa própria, a pedido da Direção ou do Conselho Fiscal, ou a requerimento de, pelo menos, 10% (dez por cento) dos associados no pleno gozo dos seus direitos.</w:t>
      </w:r>
    </w:p>
    <w:p>
      <w:pPr>
        <w:numPr>
          <w:ilvl w:val="0"/>
          <w:numId w:val="1007"/>
        </w:numPr>
        <w:pStyle w:val="Compact"/>
      </w:pPr>
      <w:r>
        <w:t xml:space="preserve">A ordem de trabalhos é fixada pelo Presidente da Mesa, não podendo ser tratados assuntos que não constem da convocatória.</w:t>
      </w:r>
    </w:p>
    <w:p>
      <w:pPr>
        <w:numPr>
          <w:ilvl w:val="0"/>
          <w:numId w:val="1007"/>
        </w:numPr>
        <w:pStyle w:val="Compact"/>
      </w:pPr>
      <w:r>
        <w:t xml:space="preserve">As deliberações são tomadas por maioria simples dos votos dos associados presentes, salvo as exceções previstas nos Estatutos.</w:t>
      </w:r>
    </w:p>
    <w:p>
      <w:pPr>
        <w:pStyle w:val="Heading3"/>
      </w:pPr>
      <w:bookmarkStart w:id="33" w:name="artigo-9.º"/>
      <w:r>
        <w:t xml:space="preserve">Artigo 9.º</w:t>
      </w:r>
      <w:bookmarkEnd w:id="33"/>
    </w:p>
    <w:p>
      <w:pPr>
        <w:pStyle w:val="FirstParagraph"/>
      </w:pPr>
      <w:r>
        <w:rPr>
          <w:b/>
        </w:rPr>
        <w:t xml:space="preserve">(Direção)</w:t>
      </w:r>
    </w:p>
    <w:p>
      <w:pPr>
        <w:numPr>
          <w:ilvl w:val="0"/>
          <w:numId w:val="1008"/>
        </w:numPr>
        <w:pStyle w:val="Compact"/>
      </w:pPr>
      <w:r>
        <w:t xml:space="preserve">A Direção reúne ordinariamente uma vez por mês e extraordinariamente sempre que convocada pelo seu Presidente ou pela maioria dos seus membros.</w:t>
      </w:r>
    </w:p>
    <w:p>
      <w:pPr>
        <w:numPr>
          <w:ilvl w:val="0"/>
          <w:numId w:val="1008"/>
        </w:numPr>
        <w:pStyle w:val="Compact"/>
      </w:pPr>
      <w:r>
        <w:t xml:space="preserve">Compete à Direção a gestão corrente do Instituto, a elaboração dos planos de atividades e orçamentos, a representação do Instituto e a execução das deliberações da Assembleia Geral.</w:t>
      </w:r>
    </w:p>
    <w:p>
      <w:pPr>
        <w:numPr>
          <w:ilvl w:val="0"/>
          <w:numId w:val="1008"/>
        </w:numPr>
        <w:pStyle w:val="Compact"/>
      </w:pPr>
      <w:r>
        <w:t xml:space="preserve">As deliberações da Direção são tomadas por maioria, tendo o Presidente voto de qualidade em caso de empate.</w:t>
      </w:r>
    </w:p>
    <w:p>
      <w:pPr>
        <w:numPr>
          <w:ilvl w:val="0"/>
          <w:numId w:val="1008"/>
        </w:numPr>
        <w:pStyle w:val="Compact"/>
      </w:pPr>
      <w:r>
        <w:t xml:space="preserve">Conforme deliberado em Ata de Constituição, o Tesoureiro, Sr. Diego, detém poderes de representação e gestão corrente equiparados aos do Presidente, podendo obrigar o Instituto singularmente em atos de gestão ordinária.</w:t>
      </w:r>
    </w:p>
    <w:p>
      <w:pPr>
        <w:pStyle w:val="Heading3"/>
      </w:pPr>
      <w:bookmarkStart w:id="34" w:name="artigo-10.º"/>
      <w:r>
        <w:t xml:space="preserve">Artigo 10.º</w:t>
      </w:r>
      <w:bookmarkEnd w:id="34"/>
    </w:p>
    <w:p>
      <w:pPr>
        <w:pStyle w:val="FirstParagraph"/>
      </w:pPr>
      <w:r>
        <w:rPr>
          <w:b/>
        </w:rPr>
        <w:t xml:space="preserve">(Conselho Fiscal)</w:t>
      </w:r>
    </w:p>
    <w:p>
      <w:pPr>
        <w:numPr>
          <w:ilvl w:val="0"/>
          <w:numId w:val="1009"/>
        </w:numPr>
        <w:pStyle w:val="Compact"/>
      </w:pPr>
      <w:r>
        <w:t xml:space="preserve">O Conselho Fiscal reúne ordinariamente uma vez por trimestre e extraordinariamente sempre que convocado pelo seu Presidente.</w:t>
      </w:r>
    </w:p>
    <w:p>
      <w:pPr>
        <w:numPr>
          <w:ilvl w:val="0"/>
          <w:numId w:val="1009"/>
        </w:numPr>
        <w:pStyle w:val="Compact"/>
      </w:pPr>
      <w:r>
        <w:t xml:space="preserve">Compete ao Conselho Fiscal fiscalizar os atos da Direção, verificar a regularidade das contas e emitir parecer sobre o relatório e contas anuais.</w:t>
      </w:r>
    </w:p>
    <w:p>
      <w:pPr>
        <w:numPr>
          <w:ilvl w:val="0"/>
          <w:numId w:val="1009"/>
        </w:numPr>
        <w:pStyle w:val="Compact"/>
      </w:pPr>
      <w:r>
        <w:t xml:space="preserve">Os membros do Conselho Fiscal têm o direito de aceder a toda a documentação financeira e administrativa do Instituto.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422eb119a4355dcca36bafa42eaad8e672a5afd"/>
      <w:r>
        <w:t xml:space="preserve">CAPÍTULO IV – DO REGIME ADMINISTRATIVO E FINANCEIRO</w:t>
      </w:r>
      <w:bookmarkEnd w:id="35"/>
    </w:p>
    <w:p>
      <w:pPr>
        <w:pStyle w:val="Heading3"/>
      </w:pPr>
      <w:bookmarkStart w:id="36" w:name="artigo-11.º"/>
      <w:r>
        <w:t xml:space="preserve">Artigo 11.º</w:t>
      </w:r>
      <w:bookmarkEnd w:id="36"/>
    </w:p>
    <w:p>
      <w:pPr>
        <w:pStyle w:val="FirstParagraph"/>
      </w:pPr>
      <w:r>
        <w:rPr>
          <w:b/>
        </w:rPr>
        <w:t xml:space="preserve">(Orçamento e Contas)</w:t>
      </w:r>
    </w:p>
    <w:p>
      <w:pPr>
        <w:numPr>
          <w:ilvl w:val="0"/>
          <w:numId w:val="1010"/>
        </w:numPr>
        <w:pStyle w:val="Compact"/>
      </w:pPr>
      <w:r>
        <w:t xml:space="preserve">Até 30 de novembro de cada ano, a Direção elaborará e submeterá ao parecer do Conselho Fiscal a proposta de Plano de Atividades e Orçamento para o ano seguinte.</w:t>
      </w:r>
    </w:p>
    <w:p>
      <w:pPr>
        <w:numPr>
          <w:ilvl w:val="0"/>
          <w:numId w:val="1010"/>
        </w:numPr>
        <w:pStyle w:val="Compact"/>
      </w:pPr>
      <w:r>
        <w:t xml:space="preserve">Até 31 de março de cada ano, a Direção elaborará e submeterá ao parecer do Conselho Fiscal o Relatório de Atividades e Contas do exercício anterior.</w:t>
      </w:r>
    </w:p>
    <w:p>
      <w:pPr>
        <w:numPr>
          <w:ilvl w:val="0"/>
          <w:numId w:val="1010"/>
        </w:numPr>
        <w:pStyle w:val="Compact"/>
      </w:pPr>
      <w:r>
        <w:t xml:space="preserve">Os documentos referidos nos números anteriores serão submetidos à aprovação da Assembleia Geral até 30 de abril de cada ano.</w:t>
      </w:r>
    </w:p>
    <w:p>
      <w:pPr>
        <w:pStyle w:val="Heading3"/>
      </w:pPr>
      <w:bookmarkStart w:id="37" w:name="artigo-12.º"/>
      <w:r>
        <w:t xml:space="preserve">Artigo 12.º</w:t>
      </w:r>
      <w:bookmarkEnd w:id="37"/>
    </w:p>
    <w:p>
      <w:pPr>
        <w:pStyle w:val="FirstParagraph"/>
      </w:pPr>
      <w:r>
        <w:rPr>
          <w:b/>
        </w:rPr>
        <w:t xml:space="preserve">(Gestão Financeira)</w:t>
      </w:r>
    </w:p>
    <w:p>
      <w:pPr>
        <w:numPr>
          <w:ilvl w:val="0"/>
          <w:numId w:val="1011"/>
        </w:numPr>
        <w:pStyle w:val="Compact"/>
      </w:pPr>
      <w:r>
        <w:t xml:space="preserve">A movimentação das contas bancárias do Instituto exige, no mínimo, duas assinaturas conjuntas de membros da Direção, sendo uma delas obrigatoriamente a do Presidente ou a do Tesoureiro.</w:t>
      </w:r>
    </w:p>
    <w:p>
      <w:pPr>
        <w:numPr>
          <w:ilvl w:val="0"/>
          <w:numId w:val="1011"/>
        </w:numPr>
        <w:pStyle w:val="Compact"/>
      </w:pPr>
      <w:r>
        <w:t xml:space="preserve">As despesas de valor superior a 500,00 € (quinhentos euros) requerem aprovação prévia da Direção.</w:t>
      </w:r>
    </w:p>
    <w:p>
      <w:pPr>
        <w:numPr>
          <w:ilvl w:val="0"/>
          <w:numId w:val="1011"/>
        </w:numPr>
        <w:pStyle w:val="Compact"/>
      </w:pPr>
      <w:r>
        <w:t xml:space="preserve">Todas as despesas devem ser devidamente documentadas com faturas ou recibos em nome do Instituto.</w:t>
      </w:r>
    </w:p>
    <w:p>
      <w:pPr>
        <w:pStyle w:val="Heading3"/>
      </w:pPr>
      <w:bookmarkStart w:id="38" w:name="artigo-13.º"/>
      <w:r>
        <w:t xml:space="preserve">Artigo 13.º</w:t>
      </w:r>
      <w:bookmarkEnd w:id="38"/>
    </w:p>
    <w:p>
      <w:pPr>
        <w:pStyle w:val="FirstParagraph"/>
      </w:pPr>
      <w:r>
        <w:rPr>
          <w:b/>
        </w:rPr>
        <w:t xml:space="preserve">(Recursos Humanos)</w:t>
      </w:r>
    </w:p>
    <w:p>
      <w:pPr>
        <w:numPr>
          <w:ilvl w:val="0"/>
          <w:numId w:val="1012"/>
        </w:numPr>
        <w:pStyle w:val="Compact"/>
      </w:pPr>
      <w:r>
        <w:t xml:space="preserve">A contratação de pessoal remunerado é da competência da Direção, dentro dos limites do orçamento aprovado.</w:t>
      </w:r>
    </w:p>
    <w:p>
      <w:pPr>
        <w:numPr>
          <w:ilvl w:val="0"/>
          <w:numId w:val="1012"/>
        </w:numPr>
        <w:pStyle w:val="Compact"/>
      </w:pPr>
      <w:r>
        <w:t xml:space="preserve">Os processos de recrutamento e seleção devem pautar-se por critérios de transparência, mérito e não discriminação.</w:t>
      </w:r>
    </w:p>
    <w:p>
      <w:pPr>
        <w:numPr>
          <w:ilvl w:val="0"/>
          <w:numId w:val="1012"/>
        </w:numPr>
        <w:pStyle w:val="Compact"/>
      </w:pPr>
      <w:r>
        <w:t xml:space="preserve">A política de remuneração e benefícios será definida pela Direção, em conformidade com a legislação laboral e as boas práticas do setor.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capítulo-v-das-atividades-e-projetos"/>
      <w:r>
        <w:t xml:space="preserve">CAPÍTULO V – DAS ATIVIDADES E PROJETOS</w:t>
      </w:r>
      <w:bookmarkEnd w:id="39"/>
    </w:p>
    <w:p>
      <w:pPr>
        <w:pStyle w:val="Heading3"/>
      </w:pPr>
      <w:bookmarkStart w:id="40" w:name="artigo-14.º"/>
      <w:r>
        <w:t xml:space="preserve">Artigo 14.º</w:t>
      </w:r>
      <w:bookmarkEnd w:id="40"/>
    </w:p>
    <w:p>
      <w:pPr>
        <w:pStyle w:val="FirstParagraph"/>
      </w:pPr>
      <w:r>
        <w:rPr>
          <w:b/>
        </w:rPr>
        <w:t xml:space="preserve">(Propostas de Projetos)</w:t>
      </w:r>
    </w:p>
    <w:p>
      <w:pPr>
        <w:numPr>
          <w:ilvl w:val="0"/>
          <w:numId w:val="1013"/>
        </w:numPr>
        <w:pStyle w:val="Compact"/>
      </w:pPr>
      <w:r>
        <w:t xml:space="preserve">As propostas de projetos a serem desenvolvidos pelo Instituto podem ser apresentadas por qualquer associado ou pela Direção.</w:t>
      </w:r>
    </w:p>
    <w:p>
      <w:pPr>
        <w:numPr>
          <w:ilvl w:val="0"/>
          <w:numId w:val="1013"/>
        </w:numPr>
        <w:pStyle w:val="Compact"/>
      </w:pPr>
      <w:r>
        <w:t xml:space="preserve">As propostas devem ser submetidas à Direção em formulário próprio, incluindo objetivos, plano de atividades, orçamento e indicadores de impacto.</w:t>
      </w:r>
    </w:p>
    <w:p>
      <w:pPr>
        <w:numPr>
          <w:ilvl w:val="0"/>
          <w:numId w:val="1013"/>
        </w:numPr>
        <w:pStyle w:val="Compact"/>
      </w:pPr>
      <w:r>
        <w:t xml:space="preserve">A aprovação de novos projetos é da competência da Direção, que avaliará o seu alinhamento com os fins estatutários e a sua viabilidade financeira.</w:t>
      </w:r>
    </w:p>
    <w:p>
      <w:pPr>
        <w:pStyle w:val="Heading3"/>
      </w:pPr>
      <w:bookmarkStart w:id="41" w:name="artigo-15.º"/>
      <w:r>
        <w:t xml:space="preserve">Artigo 15.º</w:t>
      </w:r>
      <w:bookmarkEnd w:id="41"/>
    </w:p>
    <w:p>
      <w:pPr>
        <w:pStyle w:val="FirstParagraph"/>
      </w:pPr>
      <w:r>
        <w:rPr>
          <w:b/>
        </w:rPr>
        <w:t xml:space="preserve">(Voluntariado)</w:t>
      </w:r>
    </w:p>
    <w:p>
      <w:pPr>
        <w:numPr>
          <w:ilvl w:val="0"/>
          <w:numId w:val="1014"/>
        </w:numPr>
        <w:pStyle w:val="Compact"/>
      </w:pPr>
      <w:r>
        <w:t xml:space="preserve">O trabalho voluntário no Instituto é regido pela</w:t>
      </w:r>
      <w:r>
        <w:t xml:space="preserve"> </w:t>
      </w:r>
      <w:r>
        <w:rPr>
          <w:b/>
        </w:rPr>
        <w:t xml:space="preserve">Política de Voluntariado</w:t>
      </w:r>
      <w:r>
        <w:t xml:space="preserve"> </w:t>
      </w:r>
      <w:r>
        <w:t xml:space="preserve">e pela legislação aplicável.</w:t>
      </w:r>
    </w:p>
    <w:p>
      <w:pPr>
        <w:numPr>
          <w:ilvl w:val="0"/>
          <w:numId w:val="1014"/>
        </w:numPr>
        <w:pStyle w:val="Compact"/>
      </w:pPr>
      <w:r>
        <w:t xml:space="preserve">Os voluntários devem assinar um termo de compromisso e estão abrangidos por um seguro de acidentes pessoais e de responsabilidade civil.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capítulo-vi-disposições-finais"/>
      <w:r>
        <w:t xml:space="preserve">CAPÍTULO VI – DISPOSIÇÕES FINAIS</w:t>
      </w:r>
      <w:bookmarkEnd w:id="42"/>
    </w:p>
    <w:p>
      <w:pPr>
        <w:pStyle w:val="Heading3"/>
      </w:pPr>
      <w:bookmarkStart w:id="43" w:name="artigo-16.º"/>
      <w:r>
        <w:t xml:space="preserve">Artigo 16.º</w:t>
      </w:r>
      <w:bookmarkEnd w:id="43"/>
    </w:p>
    <w:p>
      <w:pPr>
        <w:pStyle w:val="FirstParagraph"/>
      </w:pPr>
      <w:r>
        <w:rPr>
          <w:b/>
        </w:rPr>
        <w:t xml:space="preserve">(Alterações ao Regulamento)</w:t>
      </w:r>
    </w:p>
    <w:p>
      <w:pPr>
        <w:pStyle w:val="BodyText"/>
      </w:pPr>
      <w:r>
        <w:t xml:space="preserve">O presente regulamento pode ser alterado por deliberação da Assembleia Geral, sob proposta da Direção.</w:t>
      </w:r>
    </w:p>
    <w:p>
      <w:pPr>
        <w:pStyle w:val="Heading3"/>
      </w:pPr>
      <w:bookmarkStart w:id="44" w:name="artigo-17.º"/>
      <w:r>
        <w:t xml:space="preserve">Artigo 17.º</w:t>
      </w:r>
      <w:bookmarkEnd w:id="44"/>
    </w:p>
    <w:p>
      <w:pPr>
        <w:pStyle w:val="FirstParagraph"/>
      </w:pPr>
      <w:r>
        <w:rPr>
          <w:b/>
        </w:rPr>
        <w:t xml:space="preserve">(Entrada em Vigor)</w:t>
      </w:r>
    </w:p>
    <w:p>
      <w:pPr>
        <w:pStyle w:val="BodyText"/>
      </w:pPr>
      <w:r>
        <w:t xml:space="preserve">Este Regulamento Interno entra em vigor imediatamente após a sua aprovação em Assembleia Geral.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Aprovado em Assembleia Geral de [Data da Primeira Assembleia Geral Ordinária]</w:t>
      </w:r>
    </w:p>
    <w:p>
      <w:pPr>
        <w:pStyle w:val="BodyText"/>
      </w:pPr>
      <w:r>
        <w:rPr>
          <w:b/>
        </w:rPr>
        <w:t xml:space="preserve">O Presidente da Mesa da Assembleia Geral,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O Presidente da Direção,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(António)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2025-10-11T20:09:26Z</dcterms:created>
  <dcterms:modified xsi:type="dcterms:W3CDTF">2025-10-11T20:09:26Z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