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regulamento-de-utilização-de-instalações"/>
      <w:r>
        <w:t xml:space="preserve">REGULAMENTO DE UTILIZAÇÃO DE INSTALAÇÕES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apítulo-i-disposições-gerais"/>
      <w:r>
        <w:t xml:space="preserve">CAPÍTULO I – DISPOSIÇÕES GERAIS</w:t>
      </w:r>
      <w:bookmarkEnd w:id="22"/>
    </w:p>
    <w:p>
      <w:pPr>
        <w:pStyle w:val="Heading3"/>
      </w:pPr>
      <w:bookmarkStart w:id="23" w:name="artigo-1.º"/>
      <w:r>
        <w:t xml:space="preserve">Artigo 1.º</w:t>
      </w:r>
      <w:bookmarkEnd w:id="23"/>
    </w:p>
    <w:p>
      <w:pPr>
        <w:pStyle w:val="FirstParagraph"/>
      </w:pPr>
      <w:r>
        <w:rPr>
          <w:b/>
        </w:rPr>
        <w:t xml:space="preserve">(Objeto e Âmbito)</w:t>
      </w:r>
    </w:p>
    <w:p>
      <w:pPr>
        <w:numPr>
          <w:ilvl w:val="0"/>
          <w:numId w:val="1001"/>
        </w:numPr>
        <w:pStyle w:val="Compact"/>
      </w:pPr>
      <w:r>
        <w:t xml:space="preserve">O presente Regulamento estabelece as normas de utilização das instalações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(doravante</w:t>
      </w:r>
      <w:r>
        <w:t xml:space="preserve"> </w:t>
      </w:r>
      <w:r>
        <w:t xml:space="preserve">“</w:t>
      </w:r>
      <w:r>
        <w:t xml:space="preserve">Instituto</w:t>
      </w:r>
      <w:r>
        <w:t xml:space="preserve">”</w:t>
      </w:r>
      <w:r>
        <w:t xml:space="preserve">), situadas na Rua do Salvador, 20, 1.º A, 1100-383 Lisboa.</w:t>
      </w:r>
    </w:p>
    <w:p>
      <w:pPr>
        <w:numPr>
          <w:ilvl w:val="0"/>
          <w:numId w:val="1001"/>
        </w:numPr>
        <w:pStyle w:val="Compact"/>
      </w:pPr>
      <w:r>
        <w:t xml:space="preserve">Este regulamento aplica-se a todos os titulares de órgãos sociais, associados, colaboradores, voluntários, parceiros e visitantes que utilizem as instalações do Instituto.</w:t>
      </w:r>
    </w:p>
    <w:p>
      <w:pPr>
        <w:numPr>
          <w:ilvl w:val="0"/>
          <w:numId w:val="1001"/>
        </w:numPr>
        <w:pStyle w:val="Compact"/>
      </w:pPr>
      <w:r>
        <w:t xml:space="preserve">O objetivo é garantir a boa conservação do espaço, a segurança de todos os utilizadores e um ambiente de trabalho e de convívio harmonioso e produtivo.</w:t>
      </w:r>
    </w:p>
    <w:p>
      <w:pPr>
        <w:pStyle w:val="Heading3"/>
      </w:pPr>
      <w:bookmarkStart w:id="24" w:name="artigo-2.º"/>
      <w:r>
        <w:t xml:space="preserve">Artigo 2.º</w:t>
      </w:r>
      <w:bookmarkEnd w:id="24"/>
    </w:p>
    <w:p>
      <w:pPr>
        <w:pStyle w:val="FirstParagraph"/>
      </w:pPr>
      <w:r>
        <w:rPr>
          <w:b/>
        </w:rPr>
        <w:t xml:space="preserve">(Horário de Funcionamento)</w:t>
      </w:r>
    </w:p>
    <w:p>
      <w:pPr>
        <w:numPr>
          <w:ilvl w:val="0"/>
          <w:numId w:val="1002"/>
        </w:numPr>
        <w:pStyle w:val="Compact"/>
      </w:pPr>
      <w:r>
        <w:t xml:space="preserve">O horário normal de funcionamento da sede do Instituto é de</w:t>
      </w:r>
      <w:r>
        <w:t xml:space="preserve"> </w:t>
      </w:r>
      <w:r>
        <w:rPr>
          <w:b/>
        </w:rPr>
        <w:t xml:space="preserve">segunda a sexta-feira, das 9h30 às 18h30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 acesso fora deste horário, incluindo fins de semana e feriados, só é permitido mediante autorização prévia da Direção e para a realização de atividades específicas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06446b31128e8403d092855343911bdd7f2f46"/>
      <w:r>
        <w:t xml:space="preserve">CAPÍTULO II – NORMAS DE ACESSO E UTILIZAÇÃO</w:t>
      </w:r>
      <w:bookmarkEnd w:id="25"/>
    </w:p>
    <w:p>
      <w:pPr>
        <w:pStyle w:val="Heading3"/>
      </w:pPr>
      <w:bookmarkStart w:id="26" w:name="artigo-3.º"/>
      <w:r>
        <w:t xml:space="preserve">Artigo 3.º</w:t>
      </w:r>
      <w:bookmarkEnd w:id="26"/>
    </w:p>
    <w:p>
      <w:pPr>
        <w:pStyle w:val="FirstParagraph"/>
      </w:pPr>
      <w:r>
        <w:rPr>
          <w:b/>
        </w:rPr>
        <w:t xml:space="preserve">(Controlo de Acesso)</w:t>
      </w:r>
    </w:p>
    <w:p>
      <w:pPr>
        <w:numPr>
          <w:ilvl w:val="0"/>
          <w:numId w:val="1003"/>
        </w:numPr>
        <w:pStyle w:val="Compact"/>
      </w:pPr>
      <w:r>
        <w:t xml:space="preserve">Todos os utilizadores devem zelar pela segurança do espaço, garantindo que as portas de acesso ao edifício e à sede se encontram devidamente fechadas.</w:t>
      </w:r>
    </w:p>
    <w:p>
      <w:pPr>
        <w:numPr>
          <w:ilvl w:val="0"/>
          <w:numId w:val="1003"/>
        </w:numPr>
        <w:pStyle w:val="Compact"/>
      </w:pPr>
      <w:r>
        <w:t xml:space="preserve">Visitantes externos devem ser sempre anunciados e acompanhados por um membro do Instituto.</w:t>
      </w:r>
    </w:p>
    <w:p>
      <w:pPr>
        <w:numPr>
          <w:ilvl w:val="0"/>
          <w:numId w:val="1003"/>
        </w:numPr>
        <w:pStyle w:val="Compact"/>
      </w:pPr>
      <w:r>
        <w:t xml:space="preserve">A Direção reserva-se o direito de limitar o acesso a determinadas áreas por razões de segurança ou confidencialidade.</w:t>
      </w:r>
    </w:p>
    <w:p>
      <w:pPr>
        <w:pStyle w:val="Heading3"/>
      </w:pPr>
      <w:bookmarkStart w:id="27" w:name="artigo-4.º"/>
      <w:r>
        <w:t xml:space="preserve">Artigo 4.º</w:t>
      </w:r>
      <w:bookmarkEnd w:id="27"/>
    </w:p>
    <w:p>
      <w:pPr>
        <w:pStyle w:val="FirstParagraph"/>
      </w:pPr>
      <w:r>
        <w:rPr>
          <w:b/>
        </w:rPr>
        <w:t xml:space="preserve">(Utilização dos Espaços Comuns)</w:t>
      </w:r>
    </w:p>
    <w:p>
      <w:pPr>
        <w:numPr>
          <w:ilvl w:val="0"/>
          <w:numId w:val="1004"/>
        </w:numPr>
        <w:pStyle w:val="Compact"/>
      </w:pPr>
      <w:r>
        <w:t xml:space="preserve">Os espaços comuns, como a sala de reuniões, a copa e as áreas de convívio, devem ser utilizados de forma ordeira e respeitosa por todos.</w:t>
      </w:r>
    </w:p>
    <w:p>
      <w:pPr>
        <w:numPr>
          <w:ilvl w:val="0"/>
          <w:numId w:val="1004"/>
        </w:numPr>
        <w:pStyle w:val="Compact"/>
      </w:pPr>
      <w:r>
        <w:t xml:space="preserve">Após a utilização, cada utilizador é responsável por deixar o espaço limpo e arrumado, tal como o encontrou.</w:t>
      </w:r>
    </w:p>
    <w:p>
      <w:pPr>
        <w:numPr>
          <w:ilvl w:val="0"/>
          <w:numId w:val="1004"/>
        </w:numPr>
        <w:pStyle w:val="Compact"/>
      </w:pPr>
      <w:r>
        <w:t xml:space="preserve">O ruído nos espaços comuns deve ser mantido a um nível que não perturbe o trabalho dos outros.</w:t>
      </w:r>
    </w:p>
    <w:p>
      <w:pPr>
        <w:pStyle w:val="Heading3"/>
      </w:pPr>
      <w:bookmarkStart w:id="28" w:name="artigo-5.º"/>
      <w:r>
        <w:t xml:space="preserve">Artigo 5.º</w:t>
      </w:r>
      <w:bookmarkEnd w:id="28"/>
    </w:p>
    <w:p>
      <w:pPr>
        <w:pStyle w:val="FirstParagraph"/>
      </w:pPr>
      <w:r>
        <w:rPr>
          <w:b/>
        </w:rPr>
        <w:t xml:space="preserve">(Utilização da Sala de Reuniões)</w:t>
      </w:r>
    </w:p>
    <w:p>
      <w:pPr>
        <w:numPr>
          <w:ilvl w:val="0"/>
          <w:numId w:val="1005"/>
        </w:numPr>
        <w:pStyle w:val="Compact"/>
      </w:pPr>
      <w:r>
        <w:t xml:space="preserve">A utilização da sala de reuniões deve ser previamente agendada através do sistema de reservas do Instituto (a ser implementado).</w:t>
      </w:r>
    </w:p>
    <w:p>
      <w:pPr>
        <w:numPr>
          <w:ilvl w:val="0"/>
          <w:numId w:val="1005"/>
        </w:numPr>
        <w:pStyle w:val="Compact"/>
      </w:pPr>
      <w:r>
        <w:t xml:space="preserve">A prioridade de utilização é dada às reuniões dos órgãos sociais e às atividades dos projetos do Instituto.</w:t>
      </w:r>
    </w:p>
    <w:p>
      <w:pPr>
        <w:numPr>
          <w:ilvl w:val="0"/>
          <w:numId w:val="1005"/>
        </w:numPr>
        <w:pStyle w:val="Compact"/>
      </w:pPr>
      <w:r>
        <w:t xml:space="preserve">A sala de reuniões pode ser cedida a associados ou parceiros para a realização de eventos alinhados com a missão do Instituto, mediante autorização da Direção e eventual pagamento de uma taxa de utilização.</w:t>
      </w:r>
    </w:p>
    <w:p>
      <w:pPr>
        <w:pStyle w:val="Heading3"/>
      </w:pPr>
      <w:bookmarkStart w:id="29" w:name="artigo-6.º"/>
      <w:r>
        <w:t xml:space="preserve">Artigo 6.º</w:t>
      </w:r>
      <w:bookmarkEnd w:id="29"/>
    </w:p>
    <w:p>
      <w:pPr>
        <w:pStyle w:val="FirstParagraph"/>
      </w:pPr>
      <w:r>
        <w:rPr>
          <w:b/>
        </w:rPr>
        <w:t xml:space="preserve">(Utilização da Copa)</w:t>
      </w:r>
    </w:p>
    <w:p>
      <w:pPr>
        <w:numPr>
          <w:ilvl w:val="0"/>
          <w:numId w:val="1006"/>
        </w:numPr>
        <w:pStyle w:val="Compact"/>
      </w:pPr>
      <w:r>
        <w:t xml:space="preserve">A copa é um espaço de uso partilhado para refeições ligeiras.</w:t>
      </w:r>
    </w:p>
    <w:p>
      <w:pPr>
        <w:numPr>
          <w:ilvl w:val="0"/>
          <w:numId w:val="1006"/>
        </w:numPr>
        <w:pStyle w:val="Compact"/>
      </w:pPr>
      <w:r>
        <w:t xml:space="preserve">Os utilizadores são responsáveis pela lavagem da loiça que utilizam e pela limpeza de qualquer sujidade que façam.</w:t>
      </w:r>
    </w:p>
    <w:p>
      <w:pPr>
        <w:numPr>
          <w:ilvl w:val="0"/>
          <w:numId w:val="1006"/>
        </w:numPr>
        <w:pStyle w:val="Compact"/>
      </w:pPr>
      <w:r>
        <w:t xml:space="preserve">Os alimentos guardados no frigorífico devem ser devidamente identificados e datados. Alimentos não identificados ou fora de prazo serão removidos.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f6e757f6d08ed7759ec8fef65c9556a20392733"/>
      <w:r>
        <w:t xml:space="preserve">CAPÍTULO III – UTILIZAÇÃO DE EQUIPAMENTOS E RECURSOS</w:t>
      </w:r>
      <w:bookmarkEnd w:id="30"/>
    </w:p>
    <w:p>
      <w:pPr>
        <w:pStyle w:val="Heading3"/>
      </w:pPr>
      <w:bookmarkStart w:id="31" w:name="artigo-7.º"/>
      <w:r>
        <w:t xml:space="preserve">Artigo 7.º</w:t>
      </w:r>
      <w:bookmarkEnd w:id="31"/>
    </w:p>
    <w:p>
      <w:pPr>
        <w:pStyle w:val="FirstParagraph"/>
      </w:pPr>
      <w:r>
        <w:rPr>
          <w:b/>
        </w:rPr>
        <w:t xml:space="preserve">(Equipamentos Informáticos e de Escritório)</w:t>
      </w:r>
    </w:p>
    <w:p>
      <w:pPr>
        <w:numPr>
          <w:ilvl w:val="0"/>
          <w:numId w:val="1007"/>
        </w:numPr>
        <w:pStyle w:val="Compact"/>
      </w:pPr>
      <w:r>
        <w:t xml:space="preserve">Os equipamentos do Instituto (computadores, impressoras, projetores, etc.) devem ser utilizados de forma responsável e exclusivamente para fins profissionais relacionados com a atividade do Instituto.</w:t>
      </w:r>
    </w:p>
    <w:p>
      <w:pPr>
        <w:numPr>
          <w:ilvl w:val="0"/>
          <w:numId w:val="1007"/>
        </w:numPr>
        <w:pStyle w:val="Compact"/>
      </w:pPr>
      <w:r>
        <w:t xml:space="preserve">A instalação de software nos computadores do Instituto carece de autorização prévia da Direção.</w:t>
      </w:r>
    </w:p>
    <w:p>
      <w:pPr>
        <w:numPr>
          <w:ilvl w:val="0"/>
          <w:numId w:val="1007"/>
        </w:numPr>
        <w:pStyle w:val="Compact"/>
      </w:pPr>
      <w:r>
        <w:t xml:space="preserve">Qualquer avaria ou mau funcionamento de um equipamento deve ser imediatamente comunicado à Secretaria.</w:t>
      </w:r>
    </w:p>
    <w:p>
      <w:pPr>
        <w:pStyle w:val="Heading3"/>
      </w:pPr>
      <w:bookmarkStart w:id="32" w:name="artigo-8.º"/>
      <w:r>
        <w:t xml:space="preserve">Artigo 8.º</w:t>
      </w:r>
      <w:bookmarkEnd w:id="32"/>
    </w:p>
    <w:p>
      <w:pPr>
        <w:pStyle w:val="FirstParagraph"/>
      </w:pPr>
      <w:r>
        <w:rPr>
          <w:b/>
        </w:rPr>
        <w:t xml:space="preserve">(Consumo de Recursos)</w:t>
      </w:r>
    </w:p>
    <w:p>
      <w:pPr>
        <w:numPr>
          <w:ilvl w:val="0"/>
          <w:numId w:val="1008"/>
        </w:numPr>
        <w:pStyle w:val="Compact"/>
      </w:pPr>
      <w:r>
        <w:t xml:space="preserve">O Instituto promove uma política de sustentabilidade e apela a todos os utilizadores para um consumo responsável de eletricidade, água e consumíveis de escritório (papel, tinteiros, etc.).</w:t>
      </w:r>
    </w:p>
    <w:p>
      <w:pPr>
        <w:numPr>
          <w:ilvl w:val="0"/>
          <w:numId w:val="1008"/>
        </w:numPr>
        <w:pStyle w:val="Compact"/>
      </w:pPr>
      <w:r>
        <w:t xml:space="preserve">As luzes e os equipamentos devem ser desligados sempre que não estejam em uso.</w:t>
      </w:r>
    </w:p>
    <w:p>
      <w:pPr>
        <w:numPr>
          <w:ilvl w:val="0"/>
          <w:numId w:val="1008"/>
        </w:numPr>
        <w:pStyle w:val="Compact"/>
      </w:pPr>
      <w:r>
        <w:t xml:space="preserve">A impressão de documentos deve ser limitada ao estritamente necessário, privilegiando-se o formato digital.</w:t>
      </w:r>
    </w:p>
    <w:p>
      <w:pPr>
        <w:pStyle w:val="Heading3"/>
      </w:pPr>
      <w:bookmarkStart w:id="33" w:name="artigo-9.º"/>
      <w:r>
        <w:t xml:space="preserve">Artigo 9.º</w:t>
      </w:r>
      <w:bookmarkEnd w:id="33"/>
    </w:p>
    <w:p>
      <w:pPr>
        <w:pStyle w:val="FirstParagraph"/>
      </w:pPr>
      <w:r>
        <w:rPr>
          <w:b/>
        </w:rPr>
        <w:t xml:space="preserve">(Gestão de Resíduos)</w:t>
      </w:r>
    </w:p>
    <w:p>
      <w:pPr>
        <w:numPr>
          <w:ilvl w:val="0"/>
          <w:numId w:val="1009"/>
        </w:numPr>
        <w:pStyle w:val="Compact"/>
      </w:pPr>
      <w:r>
        <w:t xml:space="preserve">O Instituto promove a separação de resíduos para reciclagem.</w:t>
      </w:r>
    </w:p>
    <w:p>
      <w:pPr>
        <w:numPr>
          <w:ilvl w:val="0"/>
          <w:numId w:val="1009"/>
        </w:numPr>
        <w:pStyle w:val="Compact"/>
      </w:pPr>
      <w:r>
        <w:t xml:space="preserve">Todos os utilizadores devem colocar os resíduos nos ecopontos correspondentes (papel, plástico/metal, vidro).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apítulo-iv-segurança-e-emergência"/>
      <w:r>
        <w:t xml:space="preserve">CAPÍTULO IV – SEGURANÇA E EMERGÊNCIA</w:t>
      </w:r>
      <w:bookmarkEnd w:id="34"/>
    </w:p>
    <w:p>
      <w:pPr>
        <w:pStyle w:val="Heading3"/>
      </w:pPr>
      <w:bookmarkStart w:id="35" w:name="artigo-10.º"/>
      <w:r>
        <w:t xml:space="preserve">Artigo 10.º</w:t>
      </w:r>
      <w:bookmarkEnd w:id="35"/>
    </w:p>
    <w:p>
      <w:pPr>
        <w:pStyle w:val="FirstParagraph"/>
      </w:pPr>
      <w:r>
        <w:rPr>
          <w:b/>
        </w:rPr>
        <w:t xml:space="preserve">(Segurança contra Incêndios)</w:t>
      </w:r>
    </w:p>
    <w:p>
      <w:pPr>
        <w:numPr>
          <w:ilvl w:val="0"/>
          <w:numId w:val="1010"/>
        </w:numPr>
        <w:pStyle w:val="Compact"/>
      </w:pPr>
      <w:r>
        <w:t xml:space="preserve">É estritamente proibido fumar em todas as áreas das instalações.</w:t>
      </w:r>
    </w:p>
    <w:p>
      <w:pPr>
        <w:numPr>
          <w:ilvl w:val="0"/>
          <w:numId w:val="1010"/>
        </w:numPr>
        <w:pStyle w:val="Compact"/>
      </w:pPr>
      <w:r>
        <w:t xml:space="preserve">Todos os utilizadores devem tomar conhecimento da localização dos extintores, das saídas de emergência e do ponto de encontro em caso de evacuação.</w:t>
      </w:r>
    </w:p>
    <w:p>
      <w:pPr>
        <w:numPr>
          <w:ilvl w:val="0"/>
          <w:numId w:val="1010"/>
        </w:numPr>
        <w:pStyle w:val="Compact"/>
      </w:pPr>
      <w:r>
        <w:t xml:space="preserve">Qualquer obstrução das saídas de emergência ou dos equipamentos de combate a incêndio é proibida.</w:t>
      </w:r>
    </w:p>
    <w:p>
      <w:pPr>
        <w:pStyle w:val="Heading3"/>
      </w:pPr>
      <w:bookmarkStart w:id="36" w:name="artigo-11.º"/>
      <w:r>
        <w:t xml:space="preserve">Artigo 11.º</w:t>
      </w:r>
      <w:bookmarkEnd w:id="36"/>
    </w:p>
    <w:p>
      <w:pPr>
        <w:pStyle w:val="FirstParagraph"/>
      </w:pPr>
      <w:r>
        <w:rPr>
          <w:b/>
        </w:rPr>
        <w:t xml:space="preserve">(Primeiros Socorros)</w:t>
      </w:r>
    </w:p>
    <w:p>
      <w:pPr>
        <w:numPr>
          <w:ilvl w:val="0"/>
          <w:numId w:val="1011"/>
        </w:numPr>
        <w:pStyle w:val="Compact"/>
      </w:pPr>
      <w:r>
        <w:t xml:space="preserve">O Instituto dispõe de uma caixa de primeiros socorros para pequenas lesões, localizada na Secretaria.</w:t>
      </w:r>
    </w:p>
    <w:p>
      <w:pPr>
        <w:numPr>
          <w:ilvl w:val="0"/>
          <w:numId w:val="1011"/>
        </w:numPr>
        <w:pStyle w:val="Compact"/>
      </w:pPr>
      <w:r>
        <w:t xml:space="preserve">Em caso de acidente ou emergência médica, deve ser contactado o número nacional de emergência (112) e informada a Direção.</w:t>
      </w:r>
    </w:p>
    <w:p>
      <w:pPr>
        <w:pStyle w:val="Heading3"/>
      </w:pPr>
      <w:bookmarkStart w:id="37" w:name="artigo-12.º"/>
      <w:r>
        <w:t xml:space="preserve">Artigo 12.º</w:t>
      </w:r>
      <w:bookmarkEnd w:id="37"/>
    </w:p>
    <w:p>
      <w:pPr>
        <w:pStyle w:val="FirstParagraph"/>
      </w:pPr>
      <w:r>
        <w:rPr>
          <w:b/>
        </w:rPr>
        <w:t xml:space="preserve">(Segurança de Bens Pessoais)</w:t>
      </w:r>
    </w:p>
    <w:p>
      <w:pPr>
        <w:pStyle w:val="BodyText"/>
      </w:pPr>
      <w:r>
        <w:t xml:space="preserve">O Instituto não se responsabiliza por perdas, furtos ou danos de bens pessoais deixados nas instalações. Recomenda-se que os utilizadores não deixem objetos de valor desacompanhados.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apítulo-v-disposições-finais"/>
      <w:r>
        <w:t xml:space="preserve">CAPÍTULO V – DISPOSIÇÕES FINAIS</w:t>
      </w:r>
      <w:bookmarkEnd w:id="38"/>
    </w:p>
    <w:p>
      <w:pPr>
        <w:pStyle w:val="Heading3"/>
      </w:pPr>
      <w:bookmarkStart w:id="39" w:name="artigo-13.º"/>
      <w:r>
        <w:t xml:space="preserve">Artigo 13.º</w:t>
      </w:r>
      <w:bookmarkEnd w:id="39"/>
    </w:p>
    <w:p>
      <w:pPr>
        <w:pStyle w:val="FirstParagraph"/>
      </w:pPr>
      <w:r>
        <w:rPr>
          <w:b/>
        </w:rPr>
        <w:t xml:space="preserve">(Responsabilidade por Danos)</w:t>
      </w:r>
    </w:p>
    <w:p>
      <w:pPr>
        <w:pStyle w:val="BodyText"/>
      </w:pPr>
      <w:r>
        <w:t xml:space="preserve">Qualquer dano causado às instalações ou equipamentos por uso indevido ou negligente será da responsabilidade do utilizador que o causou, que poderá ser chamado a suportar os custos da reparação ou substituição.</w:t>
      </w:r>
    </w:p>
    <w:p>
      <w:pPr>
        <w:pStyle w:val="Heading3"/>
      </w:pPr>
      <w:bookmarkStart w:id="40" w:name="artigo-14.º"/>
      <w:r>
        <w:t xml:space="preserve">Artigo 14.º</w:t>
      </w:r>
      <w:bookmarkEnd w:id="40"/>
    </w:p>
    <w:p>
      <w:pPr>
        <w:pStyle w:val="FirstParagraph"/>
      </w:pPr>
      <w:r>
        <w:rPr>
          <w:b/>
        </w:rPr>
        <w:t xml:space="preserve">(Incumprimento)</w:t>
      </w:r>
    </w:p>
    <w:p>
      <w:pPr>
        <w:pStyle w:val="BodyText"/>
      </w:pPr>
      <w:r>
        <w:t xml:space="preserve">O incumprimento reiterado ou grave das normas deste regulamento pode resultar em sanções disciplinares, incluindo a suspensão do direito de acesso às instalações ou, em casos extremos, a exclusão do Instituto.</w:t>
      </w:r>
    </w:p>
    <w:p>
      <w:pPr>
        <w:pStyle w:val="Heading3"/>
      </w:pPr>
      <w:bookmarkStart w:id="41" w:name="artigo-15.º"/>
      <w:r>
        <w:t xml:space="preserve">Artigo 15.º</w:t>
      </w:r>
      <w:bookmarkEnd w:id="41"/>
    </w:p>
    <w:p>
      <w:pPr>
        <w:pStyle w:val="FirstParagraph"/>
      </w:pPr>
      <w:r>
        <w:rPr>
          <w:b/>
        </w:rPr>
        <w:t xml:space="preserve">(Revisão)</w:t>
      </w:r>
    </w:p>
    <w:p>
      <w:pPr>
        <w:pStyle w:val="BodyText"/>
      </w:pPr>
      <w:r>
        <w:t xml:space="preserve">Este regulamento será revisto anualmente pela Direção para garantir a sua adequação e eficácia.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pela Direção em [Data]</w:t>
      </w:r>
    </w:p>
    <w:p>
      <w:pPr>
        <w:pStyle w:val="BodyText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2025-10-11T20:09:26Z</dcterms:created>
  <dcterms:modified xsi:type="dcterms:W3CDTF">2025-10-11T20:09:26Z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