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[Versão 1.0 - Outubro 2025]</w:t>
      </w:r>
    </w:p>
    <w:p>
      <w:pPr>
        <w:pStyle w:val="Heading1"/>
      </w:pPr>
      <w:bookmarkStart w:id="20" w:name="código-de-conduta-e-ética"/>
      <w:r>
        <w:t xml:space="preserve">CÓDIGO DE CONDUTA E ÉTICA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âmbulo"/>
      <w:r>
        <w:t xml:space="preserve">PREÂMBULO</w:t>
      </w:r>
      <w:bookmarkEnd w:id="22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reconhece que a sua credibilidade e a confiança depositada pelos seus associados, parceiros, financiadores e pela sociedade em geral dependem da integridade, transparência e responsabilidade com que conduz as suas atividades.</w:t>
      </w:r>
    </w:p>
    <w:p>
      <w:pPr>
        <w:pStyle w:val="BodyText"/>
      </w:pPr>
      <w:r>
        <w:t xml:space="preserve">Este Código de Conduta e Ética estabelece os princípios e as normas de comportamento que devem orientar todos os titulares dos órgãos sociais, associados, colaboradores, voluntários e parceiros do Instituto no exercício das suas funções e no relacionamento com terceiros.</w:t>
      </w:r>
    </w:p>
    <w:p>
      <w:pPr>
        <w:pStyle w:val="BodyText"/>
      </w:pPr>
      <w:r>
        <w:t xml:space="preserve">O cumprimento deste código é obrigatório e constitui uma condição essencial para a manutenção da qualidade de associado ou colaborador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apítulo-i-princípios-fundamentais"/>
      <w:r>
        <w:t xml:space="preserve">CAPÍTULO I – PRINCÍPIOS FUNDAMENTAIS</w:t>
      </w:r>
      <w:bookmarkEnd w:id="23"/>
    </w:p>
    <w:p>
      <w:pPr>
        <w:pStyle w:val="Heading3"/>
      </w:pPr>
      <w:bookmarkStart w:id="24" w:name="artigo-1.º"/>
      <w:r>
        <w:t xml:space="preserve">Artigo 1.º</w:t>
      </w:r>
      <w:bookmarkEnd w:id="24"/>
    </w:p>
    <w:p>
      <w:pPr>
        <w:pStyle w:val="FirstParagraph"/>
      </w:pPr>
      <w:r>
        <w:rPr>
          <w:b/>
        </w:rPr>
        <w:t xml:space="preserve">(Dignidade da Pessoa Humana)</w:t>
      </w:r>
    </w:p>
    <w:p>
      <w:pPr>
        <w:pStyle w:val="BodyText"/>
      </w:pPr>
      <w:r>
        <w:t xml:space="preserve">O Instituto reconhece e respeita a dignidade inerente a todos os seres humanos. Todas as suas ações devem promover o respeito pelos direitos humanos fundamentais, combatendo qualquer forma de discriminação, exploração ou violência.</w:t>
      </w:r>
    </w:p>
    <w:p>
      <w:pPr>
        <w:pStyle w:val="Heading3"/>
      </w:pPr>
      <w:bookmarkStart w:id="25" w:name="artigo-2.º"/>
      <w:r>
        <w:t xml:space="preserve">Artigo 2.º</w:t>
      </w:r>
      <w:bookmarkEnd w:id="25"/>
    </w:p>
    <w:p>
      <w:pPr>
        <w:pStyle w:val="FirstParagraph"/>
      </w:pPr>
      <w:r>
        <w:rPr>
          <w:b/>
        </w:rPr>
        <w:t xml:space="preserve">(Solidariedade e Justiça Social)</w:t>
      </w:r>
    </w:p>
    <w:p>
      <w:pPr>
        <w:pStyle w:val="BodyText"/>
      </w:pPr>
      <w:r>
        <w:t xml:space="preserve">O Instituto pauta a sua ação pelos valores da solidariedade e da justiça social, procurando contribuir para a redução das desigualdades e para a construção de uma sociedade mais inclusiva e equitativa.</w:t>
      </w:r>
    </w:p>
    <w:p>
      <w:pPr>
        <w:pStyle w:val="Heading3"/>
      </w:pPr>
      <w:bookmarkStart w:id="26" w:name="artigo-3.º"/>
      <w:r>
        <w:t xml:space="preserve">Artigo 3.º</w:t>
      </w:r>
      <w:bookmarkEnd w:id="26"/>
    </w:p>
    <w:p>
      <w:pPr>
        <w:pStyle w:val="FirstParagraph"/>
      </w:pPr>
      <w:r>
        <w:rPr>
          <w:b/>
        </w:rPr>
        <w:t xml:space="preserve">(Transparência e Prestação de Contas)</w:t>
      </w:r>
    </w:p>
    <w:p>
      <w:pPr>
        <w:pStyle w:val="BodyText"/>
      </w:pPr>
      <w:r>
        <w:t xml:space="preserve">O Instituto compromete-se a operar com total transparência, disponibilizando informação clara, acessível e atempada sobre as suas atividades, a sua gestão financeira e o impacto dos seus projetos. A prestação de contas é um dever para com todos os stakeholders.</w:t>
      </w:r>
    </w:p>
    <w:p>
      <w:pPr>
        <w:pStyle w:val="Heading3"/>
      </w:pPr>
      <w:bookmarkStart w:id="27" w:name="artigo-4.º"/>
      <w:r>
        <w:t xml:space="preserve">Artigo 4.º</w:t>
      </w:r>
      <w:bookmarkEnd w:id="27"/>
    </w:p>
    <w:p>
      <w:pPr>
        <w:pStyle w:val="FirstParagraph"/>
      </w:pPr>
      <w:r>
        <w:rPr>
          <w:b/>
        </w:rPr>
        <w:t xml:space="preserve">(Integridade e Honestidade)</w:t>
      </w:r>
    </w:p>
    <w:p>
      <w:pPr>
        <w:pStyle w:val="BodyText"/>
      </w:pPr>
      <w:r>
        <w:t xml:space="preserve">Todos os que representam ou colaboram com o Instituto devem agir com integridade, honestidade e boa-fé, evitando qualquer conduta que possa comprometer a reputação da organização ou a confiança nela depositada.</w:t>
      </w:r>
    </w:p>
    <w:p>
      <w:pPr>
        <w:pStyle w:val="Heading3"/>
      </w:pPr>
      <w:bookmarkStart w:id="28" w:name="artigo-5.º"/>
      <w:r>
        <w:t xml:space="preserve">Artigo 5.º</w:t>
      </w:r>
      <w:bookmarkEnd w:id="28"/>
    </w:p>
    <w:p>
      <w:pPr>
        <w:pStyle w:val="FirstParagraph"/>
      </w:pPr>
      <w:r>
        <w:rPr>
          <w:b/>
        </w:rPr>
        <w:t xml:space="preserve">(Independência e Imparcialidade)</w:t>
      </w:r>
    </w:p>
    <w:p>
      <w:pPr>
        <w:pStyle w:val="BodyText"/>
      </w:pPr>
      <w:r>
        <w:t xml:space="preserve">O Instituto mantém a sua independência face a interesses políticos, económicos ou religiosos particulares. As suas decisões são tomadas de forma imparcial, com base no mérito, na evidência e no superior interesse da missão social.</w:t>
      </w:r>
    </w:p>
    <w:p>
      <w:pPr>
        <w:pStyle w:val="Heading3"/>
      </w:pPr>
      <w:bookmarkStart w:id="29" w:name="artigo-6.º"/>
      <w:r>
        <w:t xml:space="preserve">Artigo 6.º</w:t>
      </w:r>
      <w:bookmarkEnd w:id="29"/>
    </w:p>
    <w:p>
      <w:pPr>
        <w:pStyle w:val="FirstParagraph"/>
      </w:pPr>
      <w:r>
        <w:rPr>
          <w:b/>
        </w:rPr>
        <w:t xml:space="preserve">(Sustentabilidade e Responsabilidade Ambiental)</w:t>
      </w:r>
    </w:p>
    <w:p>
      <w:pPr>
        <w:pStyle w:val="BodyText"/>
      </w:pPr>
      <w:r>
        <w:t xml:space="preserve">O Instituto assume o compromisso de integrar práticas sustentáveis em todas as suas operações, minimizando o seu impacto ambiental e promovendo a transição para uma economia mais verde e circular.</w:t>
      </w:r>
    </w:p>
    <w:p>
      <w:pPr>
        <w:pStyle w:val="Heading3"/>
      </w:pPr>
      <w:bookmarkStart w:id="30" w:name="artigo-7.º"/>
      <w:r>
        <w:t xml:space="preserve">Artigo 7.º</w:t>
      </w:r>
      <w:bookmarkEnd w:id="30"/>
    </w:p>
    <w:p>
      <w:pPr>
        <w:pStyle w:val="FirstParagraph"/>
      </w:pPr>
      <w:r>
        <w:rPr>
          <w:b/>
        </w:rPr>
        <w:t xml:space="preserve">(Inovação e Excelência)</w:t>
      </w:r>
    </w:p>
    <w:p>
      <w:pPr>
        <w:pStyle w:val="BodyText"/>
      </w:pPr>
      <w:r>
        <w:t xml:space="preserve">O Instituto procura constantemente a inovação e a excelência na conceção e execução dos seus projetos, adotando as melhores práticas do setor e investindo na formação e no desenvolvimento das suas equipas.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apítulo-ii-deveres-gerais"/>
      <w:r>
        <w:t xml:space="preserve">CAPÍTULO II – DEVERES GERAIS</w:t>
      </w:r>
      <w:bookmarkEnd w:id="31"/>
    </w:p>
    <w:p>
      <w:pPr>
        <w:pStyle w:val="Heading3"/>
      </w:pPr>
      <w:bookmarkStart w:id="32" w:name="artigo-8.º"/>
      <w:r>
        <w:t xml:space="preserve">Artigo 8.º</w:t>
      </w:r>
      <w:bookmarkEnd w:id="32"/>
    </w:p>
    <w:p>
      <w:pPr>
        <w:pStyle w:val="FirstParagraph"/>
      </w:pPr>
      <w:r>
        <w:rPr>
          <w:b/>
        </w:rPr>
        <w:t xml:space="preserve">(Respeito pela Lei e pelos Estatutos)</w:t>
      </w:r>
    </w:p>
    <w:p>
      <w:pPr>
        <w:pStyle w:val="BodyText"/>
      </w:pPr>
      <w:r>
        <w:t xml:space="preserve">Todos os associados, titulares de órgãos sociais e colaboradores devem conhecer e cumprir rigorosamente a legislação aplicável, os Estatutos do Instituto e os seus regulamentos internos.</w:t>
      </w:r>
    </w:p>
    <w:p>
      <w:pPr>
        <w:pStyle w:val="Heading3"/>
      </w:pPr>
      <w:bookmarkStart w:id="33" w:name="artigo-9.º"/>
      <w:r>
        <w:t xml:space="preserve">Artigo 9.º</w:t>
      </w:r>
      <w:bookmarkEnd w:id="33"/>
    </w:p>
    <w:p>
      <w:pPr>
        <w:pStyle w:val="FirstParagraph"/>
      </w:pPr>
      <w:r>
        <w:rPr>
          <w:b/>
        </w:rPr>
        <w:t xml:space="preserve">(Confidencialidade)</w:t>
      </w:r>
    </w:p>
    <w:p>
      <w:pPr>
        <w:pStyle w:val="BodyText"/>
      </w:pPr>
      <w:r>
        <w:t xml:space="preserve">As informações de natureza confidencial a que se tenha acesso no exercício de funções no Instituto, nomeadamente dados pessoais de associados, beneficiários ou parceiros, devem ser tratadas com o máximo sigilo e não podem ser divulgadas sem autorização expressa.</w:t>
      </w:r>
    </w:p>
    <w:p>
      <w:pPr>
        <w:pStyle w:val="Heading3"/>
      </w:pPr>
      <w:bookmarkStart w:id="34" w:name="artigo-10.º"/>
      <w:r>
        <w:t xml:space="preserve">Artigo 10.º</w:t>
      </w:r>
      <w:bookmarkEnd w:id="34"/>
    </w:p>
    <w:p>
      <w:pPr>
        <w:pStyle w:val="FirstParagraph"/>
      </w:pPr>
      <w:r>
        <w:rPr>
          <w:b/>
        </w:rPr>
        <w:t xml:space="preserve">(Conflito de Interesses)</w:t>
      </w:r>
    </w:p>
    <w:p>
      <w:pPr>
        <w:pStyle w:val="BodyText"/>
      </w:pPr>
      <w:r>
        <w:t xml:space="preserve">Todos devem evitar situações de conflito de interesses, entendidas como aquelas em que os interesses pessoais, familiares ou de terceiros possam influenciar ou parecer influenciar a tomada de decisões no âmbito do Instituto. Qualquer situação de potencial conflito deve ser imediatamente declarada à Direção.</w:t>
      </w:r>
    </w:p>
    <w:p>
      <w:pPr>
        <w:pStyle w:val="Heading3"/>
      </w:pPr>
      <w:bookmarkStart w:id="35" w:name="artigo-11.º"/>
      <w:r>
        <w:t xml:space="preserve">Artigo 11.º</w:t>
      </w:r>
      <w:bookmarkEnd w:id="35"/>
    </w:p>
    <w:p>
      <w:pPr>
        <w:pStyle w:val="FirstParagraph"/>
      </w:pPr>
      <w:r>
        <w:rPr>
          <w:b/>
        </w:rPr>
        <w:t xml:space="preserve">(Uso de Recursos)</w:t>
      </w:r>
    </w:p>
    <w:p>
      <w:pPr>
        <w:pStyle w:val="BodyText"/>
      </w:pPr>
      <w:r>
        <w:t xml:space="preserve">Os recursos do Instituto, sejam financeiros, materiais ou humanos, devem ser utilizados de forma eficiente, responsável e exclusivamente para a prossecução dos fins estatutários. O uso pessoal ou indevido de recursos do Instituto é estritamente proibido.</w:t>
      </w:r>
    </w:p>
    <w:p>
      <w:pPr>
        <w:pStyle w:val="Heading3"/>
      </w:pPr>
      <w:bookmarkStart w:id="36" w:name="artigo-12.º"/>
      <w:r>
        <w:t xml:space="preserve">Artigo 12.º</w:t>
      </w:r>
      <w:bookmarkEnd w:id="36"/>
    </w:p>
    <w:p>
      <w:pPr>
        <w:pStyle w:val="FirstParagraph"/>
      </w:pPr>
      <w:r>
        <w:rPr>
          <w:b/>
        </w:rPr>
        <w:t xml:space="preserve">(Comunicação Institucional)</w:t>
      </w:r>
    </w:p>
    <w:p>
      <w:pPr>
        <w:pStyle w:val="BodyText"/>
      </w:pPr>
      <w:r>
        <w:t xml:space="preserve">A comunicação externa em nome do Instituto é da competência exclusiva da Direção ou de quem por ela for expressamente autorizado. Todos devem zelar pela imagem e reputação do Instituto nas suas interações públicas e nas redes sociais.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apítulo-iii-relações-internas"/>
      <w:r>
        <w:t xml:space="preserve">CAPÍTULO III – RELAÇÕES INTERNAS</w:t>
      </w:r>
      <w:bookmarkEnd w:id="37"/>
    </w:p>
    <w:p>
      <w:pPr>
        <w:pStyle w:val="Heading3"/>
      </w:pPr>
      <w:bookmarkStart w:id="38" w:name="artigo-13.º"/>
      <w:r>
        <w:t xml:space="preserve">Artigo 13.º</w:t>
      </w:r>
      <w:bookmarkEnd w:id="38"/>
    </w:p>
    <w:p>
      <w:pPr>
        <w:pStyle w:val="FirstParagraph"/>
      </w:pPr>
      <w:r>
        <w:rPr>
          <w:b/>
        </w:rPr>
        <w:t xml:space="preserve">(Respeito Mútuo e Não Discriminação)</w:t>
      </w:r>
    </w:p>
    <w:p>
      <w:pPr>
        <w:pStyle w:val="BodyText"/>
      </w:pPr>
      <w:r>
        <w:t xml:space="preserve">O Instituto promove um ambiente de trabalho e de colaboração baseado no respeito mútuo, na diversidade e na inclusão. São proibidas todas as formas de discriminação com base em género, idade, raça, etnia, orientação sexual, religião, deficiência, origem social ou qualquer outra característica pessoal.</w:t>
      </w:r>
    </w:p>
    <w:p>
      <w:pPr>
        <w:pStyle w:val="Heading3"/>
      </w:pPr>
      <w:bookmarkStart w:id="39" w:name="artigo-14.º"/>
      <w:r>
        <w:t xml:space="preserve">Artigo 14.º</w:t>
      </w:r>
      <w:bookmarkEnd w:id="39"/>
    </w:p>
    <w:p>
      <w:pPr>
        <w:pStyle w:val="FirstParagraph"/>
      </w:pPr>
      <w:r>
        <w:rPr>
          <w:b/>
        </w:rPr>
        <w:t xml:space="preserve">(Assédio e Comportamento Abusivo)</w:t>
      </w:r>
    </w:p>
    <w:p>
      <w:pPr>
        <w:pStyle w:val="BodyText"/>
      </w:pPr>
      <w:r>
        <w:t xml:space="preserve">O Instituto não tolera qualquer forma de assédio, seja moral, sexual ou psicológico, nem comportamentos abusivos, intimidatórios ou humilhantes. Qualquer situação desta natureza deve ser imediatamente reportada à Direção e será objeto de investigação e sanção.</w:t>
      </w:r>
    </w:p>
    <w:p>
      <w:pPr>
        <w:pStyle w:val="Heading3"/>
      </w:pPr>
      <w:bookmarkStart w:id="40" w:name="artigo-15.º"/>
      <w:r>
        <w:t xml:space="preserve">Artigo 15.º</w:t>
      </w:r>
      <w:bookmarkEnd w:id="40"/>
    </w:p>
    <w:p>
      <w:pPr>
        <w:pStyle w:val="FirstParagraph"/>
      </w:pPr>
      <w:r>
        <w:rPr>
          <w:b/>
        </w:rPr>
        <w:t xml:space="preserve">(Colaboração e Espírito de Equipa)</w:t>
      </w:r>
    </w:p>
    <w:p>
      <w:pPr>
        <w:pStyle w:val="BodyText"/>
      </w:pPr>
      <w:r>
        <w:t xml:space="preserve">Todos devem colaborar de forma construtiva, partilhando conhecimentos e experiências, e contribuindo para um ambiente de trabalho positivo e produtivo. O espírito de equipa e a entreajuda são valores fundamentais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capítulo-iv-relações-externas"/>
      <w:r>
        <w:t xml:space="preserve">CAPÍTULO IV – RELAÇÕES EXTERNAS</w:t>
      </w:r>
      <w:bookmarkEnd w:id="41"/>
    </w:p>
    <w:p>
      <w:pPr>
        <w:pStyle w:val="Heading3"/>
      </w:pPr>
      <w:bookmarkStart w:id="42" w:name="artigo-16.º"/>
      <w:r>
        <w:t xml:space="preserve">Artigo 16.º</w:t>
      </w:r>
      <w:bookmarkEnd w:id="42"/>
    </w:p>
    <w:p>
      <w:pPr>
        <w:pStyle w:val="FirstParagraph"/>
      </w:pPr>
      <w:r>
        <w:rPr>
          <w:b/>
        </w:rPr>
        <w:t xml:space="preserve">(Relação com Beneficiários)</w:t>
      </w:r>
    </w:p>
    <w:p>
      <w:pPr>
        <w:pStyle w:val="BodyText"/>
      </w:pPr>
      <w:r>
        <w:t xml:space="preserve">O Instituto trata todos os beneficiários dos seus projetos com dignidade, respeito e empatia, garantindo a confidencialidade das suas informações pessoais e promovendo a sua autonomia e participação ativa nas soluções propostas.</w:t>
      </w:r>
    </w:p>
    <w:p>
      <w:pPr>
        <w:pStyle w:val="Heading3"/>
      </w:pPr>
      <w:bookmarkStart w:id="43" w:name="artigo-17.º"/>
      <w:r>
        <w:t xml:space="preserve">Artigo 17.º</w:t>
      </w:r>
      <w:bookmarkEnd w:id="43"/>
    </w:p>
    <w:p>
      <w:pPr>
        <w:pStyle w:val="FirstParagraph"/>
      </w:pPr>
      <w:r>
        <w:rPr>
          <w:b/>
        </w:rPr>
        <w:t xml:space="preserve">(Relação com Parceiros e Fornecedores)</w:t>
      </w:r>
    </w:p>
    <w:p>
      <w:pPr>
        <w:pStyle w:val="BodyText"/>
      </w:pPr>
      <w:r>
        <w:t xml:space="preserve">O Instituto estabelece relações com parceiros e fornecedores com base na transparência, no respeito mútuo e no cumprimento das obrigações contratuais. A seleção de fornecedores deve pautar-se por critérios objetivos de qualidade, preço e sustentabilidade.</w:t>
      </w:r>
    </w:p>
    <w:p>
      <w:pPr>
        <w:pStyle w:val="Heading3"/>
      </w:pPr>
      <w:bookmarkStart w:id="44" w:name="artigo-18.º"/>
      <w:r>
        <w:t xml:space="preserve">Artigo 18.º</w:t>
      </w:r>
      <w:bookmarkEnd w:id="44"/>
    </w:p>
    <w:p>
      <w:pPr>
        <w:pStyle w:val="FirstParagraph"/>
      </w:pPr>
      <w:r>
        <w:rPr>
          <w:b/>
        </w:rPr>
        <w:t xml:space="preserve">(Relação com Financiadores e Doadores)</w:t>
      </w:r>
    </w:p>
    <w:p>
      <w:pPr>
        <w:pStyle w:val="BodyText"/>
      </w:pPr>
      <w:r>
        <w:t xml:space="preserve">O Instituto compromete-se a utilizar os fundos recebidos de financiadores e doadores de forma rigorosa e transparente, em estrita conformidade com os fins para os quais foram disponibilizados, e a prestar contas de forma clara e atempada.</w:t>
      </w:r>
    </w:p>
    <w:p>
      <w:pPr>
        <w:pStyle w:val="Heading3"/>
      </w:pPr>
      <w:bookmarkStart w:id="45" w:name="artigo-19.º"/>
      <w:r>
        <w:t xml:space="preserve">Artigo 19.º</w:t>
      </w:r>
      <w:bookmarkEnd w:id="45"/>
    </w:p>
    <w:p>
      <w:pPr>
        <w:pStyle w:val="FirstParagraph"/>
      </w:pPr>
      <w:r>
        <w:rPr>
          <w:b/>
        </w:rPr>
        <w:t xml:space="preserve">(Relação com os Media)</w:t>
      </w:r>
    </w:p>
    <w:p>
      <w:pPr>
        <w:pStyle w:val="BodyText"/>
      </w:pPr>
      <w:r>
        <w:t xml:space="preserve">O Instituto valoriza uma relação aberta e transparente com os órgãos de comunicação social, disponibilizando informação fidedigna e atempada. Todos os contactos com os media devem ser coordenados pela Direção.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45a182e0004eebb5aedcfa25a30301b4ae3ab7e"/>
      <w:r>
        <w:t xml:space="preserve">CAPÍTULO V – GESTÃO FINANCEIRA E PATRIMONIAL</w:t>
      </w:r>
      <w:bookmarkEnd w:id="46"/>
    </w:p>
    <w:p>
      <w:pPr>
        <w:pStyle w:val="Heading3"/>
      </w:pPr>
      <w:bookmarkStart w:id="47" w:name="artigo-20.º"/>
      <w:r>
        <w:t xml:space="preserve">Artigo 20.º</w:t>
      </w:r>
      <w:bookmarkEnd w:id="47"/>
    </w:p>
    <w:p>
      <w:pPr>
        <w:pStyle w:val="FirstParagraph"/>
      </w:pPr>
      <w:r>
        <w:rPr>
          <w:b/>
        </w:rPr>
        <w:t xml:space="preserve">(Rigor e Transparência Financeira)</w:t>
      </w:r>
    </w:p>
    <w:p>
      <w:pPr>
        <w:pStyle w:val="BodyText"/>
      </w:pPr>
      <w:r>
        <w:t xml:space="preserve">Todas as operações financeiras do Instituto devem ser devidamente documentadas, registadas e sujeitas a controlo interno. A gestão financeira deve ser rigorosa, prudente e orientada para a sustentabilidade da organização.</w:t>
      </w:r>
    </w:p>
    <w:p>
      <w:pPr>
        <w:pStyle w:val="Heading3"/>
      </w:pPr>
      <w:bookmarkStart w:id="48" w:name="artigo-21.º"/>
      <w:r>
        <w:t xml:space="preserve">Artigo 21.º</w:t>
      </w:r>
      <w:bookmarkEnd w:id="48"/>
    </w:p>
    <w:p>
      <w:pPr>
        <w:pStyle w:val="FirstParagraph"/>
      </w:pPr>
      <w:r>
        <w:rPr>
          <w:b/>
        </w:rPr>
        <w:t xml:space="preserve">(Combate à Corrupção e ao Branqueamento de Capitais)</w:t>
      </w:r>
    </w:p>
    <w:p>
      <w:pPr>
        <w:pStyle w:val="BodyText"/>
      </w:pPr>
      <w:r>
        <w:t xml:space="preserve">O Instituto tem tolerância zero para atos de corrupção, suborno, fraude ou branqueamento de capitais. Qualquer oferta, solicitação ou aceitação de vantagens indevidas é estritamente proibida e será reportada às autoridades competentes.</w:t>
      </w:r>
    </w:p>
    <w:p>
      <w:pPr>
        <w:pStyle w:val="Heading3"/>
      </w:pPr>
      <w:bookmarkStart w:id="49" w:name="artigo-22.º"/>
      <w:r>
        <w:t xml:space="preserve">Artigo 22.º</w:t>
      </w:r>
      <w:bookmarkEnd w:id="49"/>
    </w:p>
    <w:p>
      <w:pPr>
        <w:pStyle w:val="FirstParagraph"/>
      </w:pPr>
      <w:r>
        <w:rPr>
          <w:b/>
        </w:rPr>
        <w:t xml:space="preserve">(Donativos e Patrocínios)</w:t>
      </w:r>
    </w:p>
    <w:p>
      <w:pPr>
        <w:pStyle w:val="BodyText"/>
      </w:pPr>
      <w:r>
        <w:t xml:space="preserve">O Instituto pode aceitar donativos e patrocínios de entidades cujos valores e práticas sejam compatíveis com a sua missão. Não serão aceites donativos que possam comprometer a independência ou a reputação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0a9eff21627c1d2eb8c8bc2576ccf7df22cda62"/>
      <w:r>
        <w:t xml:space="preserve">CAPÍTULO VI – PROTEÇÃO DE DADOS E PRIVACIDADE</w:t>
      </w:r>
      <w:bookmarkEnd w:id="50"/>
    </w:p>
    <w:p>
      <w:pPr>
        <w:pStyle w:val="Heading3"/>
      </w:pPr>
      <w:bookmarkStart w:id="51" w:name="artigo-23.º"/>
      <w:r>
        <w:t xml:space="preserve">Artigo 23.º</w:t>
      </w:r>
      <w:bookmarkEnd w:id="51"/>
    </w:p>
    <w:p>
      <w:pPr>
        <w:pStyle w:val="FirstParagraph"/>
      </w:pPr>
      <w:r>
        <w:rPr>
          <w:b/>
        </w:rPr>
        <w:t xml:space="preserve">(Conformidade com o RGPD)</w:t>
      </w:r>
    </w:p>
    <w:p>
      <w:pPr>
        <w:pStyle w:val="BodyText"/>
      </w:pPr>
      <w:r>
        <w:t xml:space="preserve">O Instituto compromete-se a cumprir integralmente o Regulamento Geral sobre a Proteção de Dados (RGPD) e a legislação nacional aplicável, garantindo a proteção dos dados pessoais de todos os seus stakeholders.</w:t>
      </w:r>
    </w:p>
    <w:p>
      <w:pPr>
        <w:pStyle w:val="Heading3"/>
      </w:pPr>
      <w:bookmarkStart w:id="52" w:name="artigo-24.º"/>
      <w:r>
        <w:t xml:space="preserve">Artigo 24.º</w:t>
      </w:r>
      <w:bookmarkEnd w:id="52"/>
    </w:p>
    <w:p>
      <w:pPr>
        <w:pStyle w:val="FirstParagraph"/>
      </w:pPr>
      <w:r>
        <w:rPr>
          <w:b/>
        </w:rPr>
        <w:t xml:space="preserve">(Tratamento de Dados Pessoais)</w:t>
      </w:r>
    </w:p>
    <w:p>
      <w:pPr>
        <w:pStyle w:val="BodyText"/>
      </w:pPr>
      <w:r>
        <w:t xml:space="preserve">Os dados pessoais recolhidos pelo Instituto são tratados de forma lícita, leal e transparente, apenas para as finalidades específicas para as quais foram recolhidos, e são conservados apenas pelo tempo estritamente necessário.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capítulo-vii-denúncias-e-sanções"/>
      <w:r>
        <w:t xml:space="preserve">CAPÍTULO VII – DENÚNCIAS E SANÇÕES</w:t>
      </w:r>
      <w:bookmarkEnd w:id="53"/>
    </w:p>
    <w:p>
      <w:pPr>
        <w:pStyle w:val="Heading3"/>
      </w:pPr>
      <w:bookmarkStart w:id="54" w:name="artigo-25.º"/>
      <w:r>
        <w:t xml:space="preserve">Artigo 25.º</w:t>
      </w:r>
      <w:bookmarkEnd w:id="54"/>
    </w:p>
    <w:p>
      <w:pPr>
        <w:pStyle w:val="FirstParagraph"/>
      </w:pPr>
      <w:r>
        <w:rPr>
          <w:b/>
        </w:rPr>
        <w:t xml:space="preserve">(Canal de Denúncias)</w:t>
      </w:r>
    </w:p>
    <w:p>
      <w:pPr>
        <w:pStyle w:val="BodyText"/>
      </w:pPr>
      <w:r>
        <w:t xml:space="preserve">O Instituto disponibiliza um canal confidencial para a denúncia de violações deste Código de Conduta ou de práticas ilegais ou antiéticas. As denúncias podem ser feitas por email para</w:t>
      </w:r>
      <w:r>
        <w:t xml:space="preserve"> </w:t>
      </w:r>
      <w:r>
        <w:rPr>
          <w:b/>
        </w:rPr>
        <w:t xml:space="preserve">etica@bureausocial.pt</w:t>
      </w:r>
      <w:r>
        <w:t xml:space="preserve"> </w:t>
      </w:r>
      <w:r>
        <w:t xml:space="preserve">e serão tratadas com confidencialidade e isenção.</w:t>
      </w:r>
    </w:p>
    <w:p>
      <w:pPr>
        <w:pStyle w:val="Heading3"/>
      </w:pPr>
      <w:bookmarkStart w:id="55" w:name="artigo-26.º"/>
      <w:r>
        <w:t xml:space="preserve">Artigo 26.º</w:t>
      </w:r>
      <w:bookmarkEnd w:id="55"/>
    </w:p>
    <w:p>
      <w:pPr>
        <w:pStyle w:val="FirstParagraph"/>
      </w:pPr>
      <w:r>
        <w:rPr>
          <w:b/>
        </w:rPr>
        <w:t xml:space="preserve">(Proteção do Denunciante)</w:t>
      </w:r>
    </w:p>
    <w:p>
      <w:pPr>
        <w:pStyle w:val="BodyText"/>
      </w:pPr>
      <w:r>
        <w:t xml:space="preserve">O Instituto garante a proteção dos denunciantes de boa-fé contra qualquer forma de retaliação, discriminação ou prejuízo. A identidade do denunciante será mantida confidencial, salvo se a sua revelação for legalmente obrigatória.</w:t>
      </w:r>
    </w:p>
    <w:p>
      <w:pPr>
        <w:pStyle w:val="Heading3"/>
      </w:pPr>
      <w:bookmarkStart w:id="56" w:name="artigo-27.º"/>
      <w:r>
        <w:t xml:space="preserve">Artigo 27.º</w:t>
      </w:r>
      <w:bookmarkEnd w:id="56"/>
    </w:p>
    <w:p>
      <w:pPr>
        <w:pStyle w:val="FirstParagraph"/>
      </w:pPr>
      <w:r>
        <w:rPr>
          <w:b/>
        </w:rPr>
        <w:t xml:space="preserve">(Investigação e Sanções)</w:t>
      </w:r>
    </w:p>
    <w:p>
      <w:pPr>
        <w:pStyle w:val="BodyText"/>
      </w:pPr>
      <w:r>
        <w:t xml:space="preserve">Todas as denúncias serão objeto de investigação pela Direção ou por uma comissão ad hoc. Caso se confirme a violação deste código, serão aplicadas as sanções adequadas, que podem ir desde a advertência até à exclusão, sem prejuízo de eventual responsabilidade civil ou criminal.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apítulo-viii-disposições-finais"/>
      <w:r>
        <w:t xml:space="preserve">CAPÍTULO VIII – DISPOSIÇÕES FINAIS</w:t>
      </w:r>
      <w:bookmarkEnd w:id="57"/>
    </w:p>
    <w:p>
      <w:pPr>
        <w:pStyle w:val="Heading3"/>
      </w:pPr>
      <w:bookmarkStart w:id="58" w:name="artigo-28.º"/>
      <w:r>
        <w:t xml:space="preserve">Artigo 28.º</w:t>
      </w:r>
      <w:bookmarkEnd w:id="58"/>
    </w:p>
    <w:p>
      <w:pPr>
        <w:pStyle w:val="FirstParagraph"/>
      </w:pPr>
      <w:r>
        <w:rPr>
          <w:b/>
        </w:rPr>
        <w:t xml:space="preserve">(Divulgação e Formação)</w:t>
      </w:r>
    </w:p>
    <w:p>
      <w:pPr>
        <w:pStyle w:val="BodyText"/>
      </w:pPr>
      <w:r>
        <w:t xml:space="preserve">Este Código de Conduta será amplamente divulgado a todos os associados, colaboradores e voluntários. O Instituto promoverá ações de formação e sensibilização para garantir o seu conhecimento e cumprimento.</w:t>
      </w:r>
    </w:p>
    <w:p>
      <w:pPr>
        <w:pStyle w:val="Heading3"/>
      </w:pPr>
      <w:bookmarkStart w:id="59" w:name="artigo-29.º"/>
      <w:r>
        <w:t xml:space="preserve">Artigo 29.º</w:t>
      </w:r>
      <w:bookmarkEnd w:id="59"/>
    </w:p>
    <w:p>
      <w:pPr>
        <w:pStyle w:val="FirstParagraph"/>
      </w:pPr>
      <w:r>
        <w:rPr>
          <w:b/>
        </w:rPr>
        <w:t xml:space="preserve">(Revisão)</w:t>
      </w:r>
    </w:p>
    <w:p>
      <w:pPr>
        <w:pStyle w:val="BodyText"/>
      </w:pPr>
      <w:r>
        <w:t xml:space="preserve">Este código será revisto periodicamente pela Direção, com parecer do Conselho Fiscal, para garantir a sua adequação à evolução das melhores práticas e da legislação aplicável.</w:t>
      </w:r>
    </w:p>
    <w:p>
      <w:pPr>
        <w:pStyle w:val="Heading3"/>
      </w:pPr>
      <w:bookmarkStart w:id="60" w:name="artigo-30.º"/>
      <w:r>
        <w:t xml:space="preserve">Artigo 30.º</w:t>
      </w:r>
      <w:bookmarkEnd w:id="60"/>
    </w:p>
    <w:p>
      <w:pPr>
        <w:pStyle w:val="FirstParagraph"/>
      </w:pPr>
      <w:r>
        <w:rPr>
          <w:b/>
        </w:rPr>
        <w:t xml:space="preserve">(Entrada em Vigor)</w:t>
      </w:r>
    </w:p>
    <w:p>
      <w:pPr>
        <w:pStyle w:val="BodyText"/>
      </w:pPr>
      <w:r>
        <w:t xml:space="preserve">Este Código de Conduta e Ética entra em vigor imediatamente após a sua aprovação pela Assembleia Geral.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Aprovado em Assembleia Geral de [Data]</w:t>
      </w:r>
    </w:p>
    <w:p>
      <w:pPr>
        <w:pStyle w:val="BodyText"/>
      </w:pPr>
      <w:r>
        <w:rPr>
          <w:b/>
        </w:rPr>
        <w:t xml:space="preserve">O Presidente da Mesa da Assembleia Geral,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 Presidente da Direção,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2025-10-11T20:09:24Z</dcterms:created>
  <dcterms:modified xsi:type="dcterms:W3CDTF">2025-10-11T20:09:24Z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