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[Proposta para aprovação em Assembleia Geral]</w:t>
      </w:r>
    </w:p>
    <w:p>
      <w:pPr>
        <w:pStyle w:val="Heading1"/>
      </w:pPr>
      <w:bookmarkStart w:id="20" w:name="orçamento-anual-2026"/>
      <w:r>
        <w:t xml:space="preserve">ORÇAMENTO ANUAL 2026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introdução"/>
      <w:r>
        <w:t xml:space="preserve">1. INTRODUÇÃO</w:t>
      </w:r>
      <w:bookmarkEnd w:id="22"/>
    </w:p>
    <w:p>
      <w:pPr>
        <w:pStyle w:val="FirstParagraph"/>
      </w:pPr>
      <w:r>
        <w:t xml:space="preserve">O presente Orçamento estabelece a previsão de receitas e despesas do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para o seu primeiro ano fiscal, compreendido entre a data da sua constituição e 31 de dezembro de 2026. Este documento é uma ferramenta de gestão essencial, alinhada com o Plano de Atividades para 2026, e visa garantir a alocação responsável dos recursos e a sustentabilidade financeira do Instituto.</w:t>
      </w:r>
    </w:p>
    <w:p>
      <w:pPr>
        <w:pStyle w:val="BodyText"/>
      </w:pPr>
      <w:r>
        <w:t xml:space="preserve">As projeções foram realizadas com base num cenário conservador, considerando o capital inicial, as metas de angariação de associados e as atividades planeadas para o período.</w:t>
      </w:r>
    </w:p>
    <w:p>
      <w:pPr>
        <w:pStyle w:val="Heading3"/>
      </w:pPr>
      <w:bookmarkStart w:id="23" w:name="premissas-do-orçamento"/>
      <w:r>
        <w:t xml:space="preserve">2. PREMISSAS DO ORÇAMENTO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Capital Inicial:</w:t>
      </w:r>
      <w:r>
        <w:t xml:space="preserve"> </w:t>
      </w:r>
      <w:r>
        <w:t xml:space="preserve">O orçamento parte de um capital inicial de</w:t>
      </w:r>
      <w:r>
        <w:t xml:space="preserve"> </w:t>
      </w:r>
      <w:r>
        <w:rPr>
          <w:b/>
        </w:rPr>
        <w:t xml:space="preserve">1.000,00 €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Associados Contribuintes:</w:t>
      </w:r>
      <w:r>
        <w:t xml:space="preserve"> </w:t>
      </w:r>
      <w:r>
        <w:t xml:space="preserve">Projeção de angariação de</w:t>
      </w:r>
      <w:r>
        <w:t xml:space="preserve"> </w:t>
      </w:r>
      <w:r>
        <w:rPr>
          <w:b/>
        </w:rPr>
        <w:t xml:space="preserve">40 novos associados contribuintes</w:t>
      </w:r>
      <w:r>
        <w:t xml:space="preserve"> </w:t>
      </w:r>
      <w:r>
        <w:t xml:space="preserve">ao longo do ano, com uma entrada média de 4 novos associados por mês a partir de março de 2026.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Receitas de Atividades:</w:t>
      </w:r>
      <w:r>
        <w:t xml:space="preserve"> </w:t>
      </w:r>
      <w:r>
        <w:t xml:space="preserve">As primeiras edições do Bootcamp e do Workshop serão oferecidas a preços simbólicos ou gratuitas para construir notoriedade, não gerando receita significativa neste primeiro ano.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Despesas com Pessoal:</w:t>
      </w:r>
      <w:r>
        <w:t xml:space="preserve"> </w:t>
      </w:r>
      <w:r>
        <w:t xml:space="preserve">Não está prevista a contratação de pessoal remunerado em 2026. As funções serão desempenhadas pela Direção e por voluntários.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Inflação:</w:t>
      </w:r>
      <w:r>
        <w:t xml:space="preserve"> </w:t>
      </w:r>
      <w:r>
        <w:t xml:space="preserve">Não foi aplicado um fator de inflação, dado tratar-se do primeiro ano de atividade.</w:t>
      </w:r>
    </w:p>
    <w:p>
      <w:pPr>
        <w:pStyle w:val="Heading3"/>
      </w:pPr>
      <w:bookmarkStart w:id="24" w:name="previsão-de-receitas"/>
      <w:r>
        <w:t xml:space="preserve">3. PREVISÃO DE RECEITAS</w:t>
      </w:r>
      <w:bookmarkEnd w:id="24"/>
    </w:p>
    <w:p>
      <w:pPr>
        <w:pStyle w:val="FirstParagraph"/>
      </w:pPr>
      <w:r>
        <w:t xml:space="preserve">A tabela seguinte detalha as fontes de receita previstas para 2026.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 de Receita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Memória de Cálculo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Previsto (€)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Capital Inicial</w:t>
            </w:r>
          </w:p>
        </w:tc>
        <w:tc>
          <w:p>
            <w:pPr>
              <w:pStyle w:val="Compact"/>
              <w:jc w:val="left"/>
            </w:pPr>
            <w:r>
              <w:t xml:space="preserve">Capital subscrito pelos associados fundadores.</w:t>
            </w:r>
          </w:p>
        </w:tc>
        <w:tc>
          <w:p>
            <w:pPr>
              <w:pStyle w:val="Compact"/>
              <w:jc w:val="left"/>
            </w:pPr>
            <w:r>
              <w:t xml:space="preserve">1.000,00 €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Quotas de Associados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Associados Contribuintes</w:t>
            </w:r>
          </w:p>
        </w:tc>
        <w:tc>
          <w:p>
            <w:pPr>
              <w:pStyle w:val="Compact"/>
              <w:jc w:val="left"/>
            </w:pPr>
            <w:r>
              <w:t xml:space="preserve">40 associados x (média de 6 meses de quotização) x 15,69 €</w:t>
            </w:r>
          </w:p>
        </w:tc>
        <w:tc>
          <w:p>
            <w:pPr>
              <w:pStyle w:val="Compact"/>
              <w:jc w:val="left"/>
            </w:pPr>
            <w:r>
              <w:t xml:space="preserve">3.765,60 €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Associados Efetivos</w:t>
            </w:r>
          </w:p>
        </w:tc>
        <w:tc>
          <w:p>
            <w:pPr>
              <w:pStyle w:val="Compact"/>
              <w:jc w:val="left"/>
            </w:pPr>
            <w:r>
              <w:t xml:space="preserve">(Previsão de 0 no primeiro ano)</w:t>
            </w:r>
          </w:p>
        </w:tc>
        <w:tc>
          <w:p>
            <w:pPr>
              <w:pStyle w:val="Compact"/>
              <w:jc w:val="left"/>
            </w:pPr>
            <w:r>
              <w:t xml:space="preserve">0,00 €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Donativos</w:t>
            </w:r>
          </w:p>
        </w:tc>
        <w:tc>
          <w:p>
            <w:pPr>
              <w:pStyle w:val="Compact"/>
              <w:jc w:val="left"/>
            </w:pPr>
            <w:r>
              <w:t xml:space="preserve">Estimativa conservadora de donativos de particulares e empresas.</w:t>
            </w:r>
          </w:p>
        </w:tc>
        <w:tc>
          <w:p>
            <w:pPr>
              <w:pStyle w:val="Compact"/>
              <w:jc w:val="left"/>
            </w:pPr>
            <w:r>
              <w:t xml:space="preserve">500,00 €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Receitas de Atividades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Bootcamp e Workshops</w:t>
            </w:r>
          </w:p>
        </w:tc>
        <w:tc>
          <w:p>
            <w:pPr>
              <w:pStyle w:val="Compact"/>
              <w:jc w:val="left"/>
            </w:pPr>
            <w:r>
              <w:t xml:space="preserve">Receitas de inscrições simbólicas.</w:t>
            </w:r>
          </w:p>
        </w:tc>
        <w:tc>
          <w:p>
            <w:pPr>
              <w:pStyle w:val="Compact"/>
              <w:jc w:val="left"/>
            </w:pPr>
            <w:r>
              <w:t xml:space="preserve">200,00 €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Candidaturas a Financiamento</w:t>
            </w:r>
          </w:p>
        </w:tc>
        <w:tc>
          <w:p>
            <w:pPr>
              <w:pStyle w:val="Compact"/>
              <w:jc w:val="left"/>
            </w:pPr>
            <w:r>
              <w:t xml:space="preserve">(Valor a ser executado apenas em 2026, caso aprovado)</w:t>
            </w:r>
          </w:p>
        </w:tc>
        <w:tc>
          <w:p>
            <w:pPr>
              <w:pStyle w:val="Compact"/>
              <w:jc w:val="left"/>
            </w:pPr>
            <w:r>
              <w:t xml:space="preserve">0,00 €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DE RECEITAS PREVISTAS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5.465,60 €</w:t>
            </w:r>
          </w:p>
        </w:tc>
      </w:tr>
    </w:tbl>
    <w:p>
      <w:pPr>
        <w:pStyle w:val="Heading3"/>
      </w:pPr>
      <w:bookmarkStart w:id="25" w:name="previsão-de-despesas"/>
      <w:r>
        <w:t xml:space="preserve">4. PREVISÃO DE DESPESAS</w:t>
      </w:r>
      <w:bookmarkEnd w:id="25"/>
    </w:p>
    <w:p>
      <w:pPr>
        <w:pStyle w:val="FirstParagraph"/>
      </w:pPr>
      <w:r>
        <w:t xml:space="preserve">A tabela seguinte detalha as despesas previstas para 2026, organizadas por categoria.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 de Despesa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Memória de Cálculo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Previsto (€)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Despesas Administrativas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1.550,00 €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Serviços de Contabilidade</w:t>
            </w:r>
          </w:p>
        </w:tc>
        <w:tc>
          <w:p>
            <w:pPr>
              <w:pStyle w:val="Compact"/>
              <w:jc w:val="left"/>
            </w:pPr>
            <w:r>
              <w:t xml:space="preserve">12 meses x 80,00 €</w:t>
            </w:r>
          </w:p>
        </w:tc>
        <w:tc>
          <w:p>
            <w:pPr>
              <w:pStyle w:val="Compact"/>
              <w:jc w:val="left"/>
            </w:pPr>
            <w:r>
              <w:t xml:space="preserve">960,00 €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Despesas Bancárias</w:t>
            </w:r>
          </w:p>
        </w:tc>
        <w:tc>
          <w:p>
            <w:pPr>
              <w:pStyle w:val="Compact"/>
              <w:jc w:val="left"/>
            </w:pPr>
            <w:r>
              <w:t xml:space="preserve">12 meses x 15,00 €</w:t>
            </w:r>
          </w:p>
        </w:tc>
        <w:tc>
          <w:p>
            <w:pPr>
              <w:pStyle w:val="Compact"/>
              <w:jc w:val="left"/>
            </w:pPr>
            <w:r>
              <w:t xml:space="preserve">180,00 €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Material de Escritório</w:t>
            </w:r>
          </w:p>
        </w:tc>
        <w:tc>
          <w:p>
            <w:pPr>
              <w:pStyle w:val="Compact"/>
              <w:jc w:val="left"/>
            </w:pPr>
            <w:r>
              <w:t xml:space="preserve">Compra inicial e consumíveis</w:t>
            </w:r>
          </w:p>
        </w:tc>
        <w:tc>
          <w:p>
            <w:pPr>
              <w:pStyle w:val="Compact"/>
              <w:jc w:val="left"/>
            </w:pPr>
            <w:r>
              <w:t xml:space="preserve">250,00 €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Taxas e Registos</w:t>
            </w:r>
          </w:p>
        </w:tc>
        <w:tc>
          <w:p>
            <w:pPr>
              <w:pStyle w:val="Compact"/>
              <w:jc w:val="left"/>
            </w:pPr>
            <w:r>
              <w:t xml:space="preserve">Custos de constituição e outros</w:t>
            </w:r>
          </w:p>
        </w:tc>
        <w:tc>
          <w:p>
            <w:pPr>
              <w:pStyle w:val="Compact"/>
              <w:jc w:val="left"/>
            </w:pPr>
            <w:r>
              <w:t xml:space="preserve">160,00 €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Despesas Operacionais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840,00 €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Comunicações (Site e Email)</w:t>
            </w:r>
          </w:p>
        </w:tc>
        <w:tc>
          <w:p>
            <w:pPr>
              <w:pStyle w:val="Compact"/>
              <w:jc w:val="left"/>
            </w:pPr>
            <w:r>
              <w:t xml:space="preserve">Domínio, alojamento, serviço de email</w:t>
            </w:r>
          </w:p>
        </w:tc>
        <w:tc>
          <w:p>
            <w:pPr>
              <w:pStyle w:val="Compact"/>
              <w:jc w:val="left"/>
            </w:pPr>
            <w:r>
              <w:t xml:space="preserve">240,00 €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Software de Gestão</w:t>
            </w:r>
          </w:p>
        </w:tc>
        <w:tc>
          <w:p>
            <w:pPr>
              <w:pStyle w:val="Compact"/>
              <w:jc w:val="left"/>
            </w:pPr>
            <w:r>
              <w:t xml:space="preserve">Licenças de software (gestão, design, etc.)</w:t>
            </w:r>
          </w:p>
        </w:tc>
        <w:tc>
          <w:p>
            <w:pPr>
              <w:pStyle w:val="Compact"/>
              <w:jc w:val="left"/>
            </w:pPr>
            <w:r>
              <w:t xml:space="preserve">300,00 €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Seguros</w:t>
            </w:r>
          </w:p>
        </w:tc>
        <w:tc>
          <w:p>
            <w:pPr>
              <w:pStyle w:val="Compact"/>
              <w:jc w:val="left"/>
            </w:pPr>
            <w:r>
              <w:t xml:space="preserve">Seguro de responsabilidade civil</w:t>
            </w:r>
          </w:p>
        </w:tc>
        <w:tc>
          <w:p>
            <w:pPr>
              <w:pStyle w:val="Compact"/>
              <w:jc w:val="left"/>
            </w:pPr>
            <w:r>
              <w:t xml:space="preserve">300,00 €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Despesas com Atividades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1.200,00 €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Evento de Lançamento</w:t>
            </w:r>
          </w:p>
        </w:tc>
        <w:tc>
          <w:p>
            <w:pPr>
              <w:pStyle w:val="Compact"/>
              <w:jc w:val="left"/>
            </w:pPr>
            <w:r>
              <w:t xml:space="preserve">Aluguer de espaço, catering, material gráfico</w:t>
            </w:r>
          </w:p>
        </w:tc>
        <w:tc>
          <w:p>
            <w:pPr>
              <w:pStyle w:val="Compact"/>
              <w:jc w:val="left"/>
            </w:pPr>
            <w:r>
              <w:t xml:space="preserve">500,00 €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Bootcamp e Workshops</w:t>
            </w:r>
          </w:p>
        </w:tc>
        <w:tc>
          <w:p>
            <w:pPr>
              <w:pStyle w:val="Compact"/>
              <w:jc w:val="left"/>
            </w:pPr>
            <w:r>
              <w:t xml:space="preserve">Material de apoio, plataforma online, coffee-breaks</w:t>
            </w:r>
          </w:p>
        </w:tc>
        <w:tc>
          <w:p>
            <w:pPr>
              <w:pStyle w:val="Compact"/>
              <w:jc w:val="left"/>
            </w:pPr>
            <w:r>
              <w:t xml:space="preserve">700,00 €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Despesas com Comunicação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600,00 €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Publicidade Online</w:t>
            </w:r>
          </w:p>
        </w:tc>
        <w:tc>
          <w:p>
            <w:pPr>
              <w:pStyle w:val="Compact"/>
              <w:jc w:val="left"/>
            </w:pPr>
            <w:r>
              <w:t xml:space="preserve">Campanhas em redes sociais</w:t>
            </w:r>
          </w:p>
        </w:tc>
        <w:tc>
          <w:p>
            <w:pPr>
              <w:pStyle w:val="Compact"/>
              <w:jc w:val="left"/>
            </w:pPr>
            <w:r>
              <w:t xml:space="preserve">400,00 €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Material Gráfico</w:t>
            </w:r>
          </w:p>
        </w:tc>
        <w:tc>
          <w:p>
            <w:pPr>
              <w:pStyle w:val="Compact"/>
              <w:jc w:val="left"/>
            </w:pPr>
            <w:r>
              <w:t xml:space="preserve">Design e impressão de folhetos e cartões</w:t>
            </w:r>
          </w:p>
        </w:tc>
        <w:tc>
          <w:p>
            <w:pPr>
              <w:pStyle w:val="Compact"/>
              <w:jc w:val="left"/>
            </w:pPr>
            <w:r>
              <w:t xml:space="preserve">200,00 €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Fundo de Contingência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10% do total das outras despesas</w:t>
            </w:r>
          </w:p>
        </w:tc>
        <w:tc>
          <w:p>
            <w:pPr>
              <w:pStyle w:val="Compact"/>
              <w:jc w:val="left"/>
            </w:pPr>
            <w:r>
              <w:t xml:space="preserve">419,00 €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DE DESPESAS PREVISTAS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4.609,00 €</w:t>
            </w:r>
          </w:p>
        </w:tc>
      </w:tr>
    </w:tbl>
    <w:p>
      <w:pPr>
        <w:pStyle w:val="Heading3"/>
      </w:pPr>
      <w:bookmarkStart w:id="26" w:name="resumo-do-orçamento"/>
      <w:r>
        <w:t xml:space="preserve">5. RESUMO DO ORÇAMENTO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Previsto (€)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de Receitas Previstas</w:t>
            </w:r>
          </w:p>
        </w:tc>
        <w:tc>
          <w:p>
            <w:pPr>
              <w:pStyle w:val="Compact"/>
              <w:jc w:val="left"/>
            </w:pPr>
            <w:r>
              <w:t xml:space="preserve">5.465,60 €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de Despesas Previstas</w:t>
            </w:r>
          </w:p>
        </w:tc>
        <w:tc>
          <w:p>
            <w:pPr>
              <w:pStyle w:val="Compact"/>
              <w:jc w:val="left"/>
            </w:pPr>
            <w:r>
              <w:t xml:space="preserve">4.609,00 €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RESULTADO LÍQUIDO PREVISTO (SALDO)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856,60 €</w:t>
            </w:r>
          </w:p>
        </w:tc>
      </w:tr>
    </w:tbl>
    <w:p>
      <w:pPr>
        <w:pStyle w:val="Heading3"/>
      </w:pPr>
      <w:bookmarkStart w:id="27" w:name="análise-e-conclusão"/>
      <w:r>
        <w:t xml:space="preserve">6. ANÁLISE E CONCLUSÃO</w:t>
      </w:r>
      <w:bookmarkEnd w:id="27"/>
    </w:p>
    <w:p>
      <w:pPr>
        <w:pStyle w:val="FirstParagraph"/>
      </w:pPr>
      <w:r>
        <w:t xml:space="preserve">O Orçamento para 2026 apresenta um</w:t>
      </w:r>
      <w:r>
        <w:t xml:space="preserve"> </w:t>
      </w:r>
      <w:r>
        <w:rPr>
          <w:b/>
        </w:rPr>
        <w:t xml:space="preserve">resultado líquido positivo de 856,60 €</w:t>
      </w:r>
      <w:r>
        <w:t xml:space="preserve">, o que demonstra a viabilidade e a sustentabilidade do plano de atividades para o primeiro ano.</w:t>
      </w:r>
    </w:p>
    <w:p>
      <w:pPr>
        <w:pStyle w:val="BodyText"/>
      </w:pPr>
      <w:r>
        <w:t xml:space="preserve">As principais fontes de receita serão as quotas dos associados contribuintes, o que reforça a importância da campanha de angariação de membros. As despesas foram estimadas de forma prudente, com um fundo de contingência de 10% para cobrir eventuais imprevistos.</w:t>
      </w:r>
    </w:p>
    <w:p>
      <w:pPr>
        <w:pStyle w:val="BodyText"/>
      </w:pPr>
      <w:r>
        <w:t xml:space="preserve">Este orçamento permite que o Instituto inicie as suas operações numa base financeira sólida, com capacidade para executar os projetos-piloto planeados e consolidar a sua estrutura sem incorrer em défice.</w:t>
      </w:r>
    </w:p>
    <w:p>
      <w:pPr>
        <w:pStyle w:val="BodyText"/>
      </w:pPr>
      <w:r>
        <w:t xml:space="preserve">A Direção compromete-se a realizar uma gestão rigorosa e transparente dos recursos, com uma reavaliação orçamental a meio do ano para ajustar as previsões à realidade verificada.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 Direção,</w:t>
      </w:r>
    </w:p>
    <w:p>
      <w:pPr>
        <w:pStyle w:val="BodyText"/>
      </w:pPr>
      <w:r>
        <w:t xml:space="preserve">Lisboa, 21 de outubro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(António, Presidente)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(Marcos, Secretário)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(Diego, Tesoureiro)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2025-10-11T20:09:24Z</dcterms:created>
  <dcterms:modified xsi:type="dcterms:W3CDTF">2025-10-11T20:09:24Z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