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i/>
        </w:rPr>
        <w:t xml:space="preserve">[Rascunho para aprovação da Direção]</w:t>
      </w:r>
    </w:p>
    <w:p>
      <w:pPr>
        <w:pStyle w:val="Heading1"/>
      </w:pPr>
      <w:bookmarkStart w:id="20" w:name="Xcb58f2c78c27a829081cca7f62162b5655e5d81"/>
      <w:r>
        <w:t xml:space="preserve">REGULAMENTO DE QUOTAS E CONTRIBUIÇÕES DO INSTITUTO PORTUGUÊS DE NEGÓCIOS SOCIAIS – BUREAU SOCIAL</w:t>
      </w:r>
      <w:bookmarkEnd w:id="20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apítulo-i-disposições-gerais"/>
      <w:r>
        <w:t xml:space="preserve">CAPÍTULO I – DISPOSIÇÕES GERAIS</w:t>
      </w:r>
      <w:bookmarkEnd w:id="21"/>
    </w:p>
    <w:p>
      <w:pPr>
        <w:pStyle w:val="Heading3"/>
      </w:pPr>
      <w:bookmarkStart w:id="22" w:name="artigo-1.º"/>
      <w:r>
        <w:t xml:space="preserve">Artigo 1.º</w:t>
      </w:r>
      <w:bookmarkEnd w:id="22"/>
    </w:p>
    <w:p>
      <w:pPr>
        <w:pStyle w:val="FirstParagraph"/>
      </w:pPr>
      <w:r>
        <w:rPr>
          <w:b/>
        </w:rPr>
        <w:t xml:space="preserve">(Objeto)</w:t>
      </w:r>
    </w:p>
    <w:p>
      <w:pPr>
        <w:pStyle w:val="BodyText"/>
      </w:pPr>
      <w:r>
        <w:t xml:space="preserve">O presente regulamento estabelece os valores, a periodicidade, os métodos de pagamento e as condições de isenção relativos às quotas e outras contribuições financeiras dos associados do</w:t>
      </w:r>
      <w:r>
        <w:t xml:space="preserve"> </w:t>
      </w:r>
      <w:r>
        <w:rPr>
          <w:b/>
        </w:rPr>
        <w:t xml:space="preserve">Instituto Português de Negócios Sociais – Bureau Social</w:t>
      </w:r>
      <w:r>
        <w:t xml:space="preserve">, doravante designado por</w:t>
      </w:r>
      <w:r>
        <w:t xml:space="preserve"> </w:t>
      </w:r>
      <w:r>
        <w:t xml:space="preserve">“</w:t>
      </w:r>
      <w:r>
        <w:t xml:space="preserve">Instituto</w:t>
      </w:r>
      <w:r>
        <w:t xml:space="preserve">”</w:t>
      </w:r>
      <w:r>
        <w:t xml:space="preserve">, em conformidade com os seus Estatutos.</w:t>
      </w:r>
    </w:p>
    <w:p>
      <w:pPr>
        <w:pStyle w:val="Heading3"/>
      </w:pPr>
      <w:bookmarkStart w:id="23" w:name="artigo-2.º"/>
      <w:r>
        <w:t xml:space="preserve">Artigo 2.º</w:t>
      </w:r>
      <w:bookmarkEnd w:id="23"/>
    </w:p>
    <w:p>
      <w:pPr>
        <w:pStyle w:val="FirstParagraph"/>
      </w:pPr>
      <w:r>
        <w:rPr>
          <w:b/>
        </w:rPr>
        <w:t xml:space="preserve">(Princípio da Obrigatoriedade)</w:t>
      </w:r>
    </w:p>
    <w:p>
      <w:pPr>
        <w:numPr>
          <w:ilvl w:val="0"/>
          <w:numId w:val="1001"/>
        </w:numPr>
        <w:pStyle w:val="Compact"/>
      </w:pPr>
      <w:r>
        <w:t xml:space="preserve">O pagamento de quotas é um dever fundamental dos associados, conforme estipulado nos Estatutos, e constitui uma das principais fontes de receita para a prossecução dos fins do Instituto.</w:t>
      </w:r>
    </w:p>
    <w:p>
      <w:pPr>
        <w:numPr>
          <w:ilvl w:val="0"/>
          <w:numId w:val="1001"/>
        </w:numPr>
        <w:pStyle w:val="Compact"/>
      </w:pPr>
      <w:r>
        <w:t xml:space="preserve">Apenas os associados com as quotas regularizadas podem exercer plenamente os seus direitos, nomeadamente o direito de voto em Assembleia Geral.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3e970b8cd4ab9f29d05a8c7f8fa9fd7c0131d3e"/>
      <w:r>
        <w:t xml:space="preserve">CAPÍTULO II – VALOR E PERIODICIDADE DAS QUOTAS</w:t>
      </w:r>
      <w:bookmarkEnd w:id="24"/>
    </w:p>
    <w:p>
      <w:pPr>
        <w:pStyle w:val="Heading3"/>
      </w:pPr>
      <w:bookmarkStart w:id="25" w:name="artigo-3.º"/>
      <w:r>
        <w:t xml:space="preserve">Artigo 3.º</w:t>
      </w:r>
      <w:bookmarkEnd w:id="25"/>
    </w:p>
    <w:p>
      <w:pPr>
        <w:pStyle w:val="FirstParagraph"/>
      </w:pPr>
      <w:r>
        <w:rPr>
          <w:b/>
        </w:rPr>
        <w:t xml:space="preserve">(Valores das Quotas por Categoria)</w:t>
      </w:r>
    </w:p>
    <w:p>
      <w:pPr>
        <w:pStyle w:val="BodyText"/>
      </w:pPr>
      <w:r>
        <w:t xml:space="preserve">Com base nas deliberações da Direção e para vigorar a partir do ano de 2025, são fixados os seguintes valores para as quotas: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Categoria de Associado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 da Quota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Periodicidade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Anotações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Fundadores</w:t>
            </w:r>
          </w:p>
        </w:tc>
        <w:tc>
          <w:p>
            <w:pPr>
              <w:pStyle w:val="Compact"/>
              <w:jc w:val="left"/>
            </w:pPr>
            <w:r>
              <w:t xml:space="preserve">Isento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Isenção vitalícia, conforme deliberação de constituição.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Efetivos</w:t>
            </w:r>
          </w:p>
        </w:tc>
        <w:tc>
          <w:p>
            <w:pPr>
              <w:pStyle w:val="Compact"/>
              <w:jc w:val="left"/>
            </w:pPr>
            <w:r>
              <w:t xml:space="preserve">100,00 € (cem euros)</w:t>
            </w:r>
          </w:p>
        </w:tc>
        <w:tc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p>
            <w:pPr>
              <w:pStyle w:val="Compact"/>
              <w:jc w:val="left"/>
            </w:pPr>
            <w:r>
              <w:t xml:space="preserve">Pagamento único até 31 de março de cada ano.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Contribuintes</w:t>
            </w:r>
          </w:p>
        </w:tc>
        <w:tc>
          <w:p>
            <w:pPr>
              <w:pStyle w:val="Compact"/>
              <w:jc w:val="left"/>
            </w:pPr>
            <w:r>
              <w:t xml:space="preserve">15,69 € (quinze euros e sessenta e nove cêntimos)</w:t>
            </w:r>
          </w:p>
        </w:tc>
        <w:tc>
          <w:p>
            <w:pPr>
              <w:pStyle w:val="Compact"/>
              <w:jc w:val="left"/>
            </w:pPr>
            <w:r>
              <w:t xml:space="preserve">Mensal</w:t>
            </w:r>
          </w:p>
        </w:tc>
        <w:tc>
          <w:p>
            <w:pPr>
              <w:pStyle w:val="Compact"/>
              <w:jc w:val="left"/>
            </w:pPr>
            <w:r>
              <w:t xml:space="preserve">Pagamento até ao dia 8 de cada mês.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Voluntários</w:t>
            </w:r>
          </w:p>
        </w:tc>
        <w:tc>
          <w:p>
            <w:pPr>
              <w:pStyle w:val="Compact"/>
              <w:jc w:val="left"/>
            </w:pPr>
            <w:r>
              <w:t xml:space="preserve">Isento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Isenção durante o período em que exercem voluntariado.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Profissionais</w:t>
            </w:r>
          </w:p>
        </w:tc>
        <w:tc>
          <w:p>
            <w:pPr>
              <w:pStyle w:val="Compact"/>
              <w:jc w:val="left"/>
            </w:pPr>
            <w:r>
              <w:t xml:space="preserve">Isento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Isenção durante o período de colaboração em projetos.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Beneméritos</w:t>
            </w:r>
          </w:p>
        </w:tc>
        <w:tc>
          <w:p>
            <w:pPr>
              <w:pStyle w:val="Compact"/>
              <w:jc w:val="left"/>
            </w:pPr>
            <w:r>
              <w:t xml:space="preserve">Isento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Isenção por reconhecimento de mérito.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Patrocinadores</w:t>
            </w:r>
          </w:p>
        </w:tc>
        <w:tc>
          <w:p>
            <w:pPr>
              <w:pStyle w:val="Compact"/>
              <w:jc w:val="left"/>
            </w:pPr>
            <w:r>
              <w:t xml:space="preserve">A definir</w:t>
            </w:r>
          </w:p>
        </w:tc>
        <w:tc>
          <w:p>
            <w:pPr>
              <w:pStyle w:val="Compact"/>
              <w:jc w:val="left"/>
            </w:pPr>
            <w:r>
              <w:t xml:space="preserve">A definir</w:t>
            </w:r>
          </w:p>
        </w:tc>
        <w:tc>
          <w:p>
            <w:pPr>
              <w:pStyle w:val="Compact"/>
              <w:jc w:val="left"/>
            </w:pPr>
            <w:r>
              <w:t xml:space="preserve">Valor e periodicidade a acordar em protocolo específico.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Institucionais</w:t>
            </w:r>
          </w:p>
        </w:tc>
        <w:tc>
          <w:p>
            <w:pPr>
              <w:pStyle w:val="Compact"/>
              <w:jc w:val="left"/>
            </w:pPr>
            <w:r>
              <w:t xml:space="preserve">A definir</w:t>
            </w:r>
          </w:p>
        </w:tc>
        <w:tc>
          <w:p>
            <w:pPr>
              <w:pStyle w:val="Compact"/>
              <w:jc w:val="left"/>
            </w:pPr>
            <w:r>
              <w:t xml:space="preserve">A definir</w:t>
            </w:r>
          </w:p>
        </w:tc>
        <w:tc>
          <w:p>
            <w:pPr>
              <w:pStyle w:val="Compact"/>
              <w:jc w:val="left"/>
            </w:pPr>
            <w:r>
              <w:t xml:space="preserve">Valor e periodicidade a acordar em protocolo específico.</w:t>
            </w:r>
          </w:p>
        </w:tc>
      </w:tr>
    </w:tbl>
    <w:p>
      <w:pPr>
        <w:pStyle w:val="Heading3"/>
      </w:pPr>
      <w:bookmarkStart w:id="26" w:name="artigo-4.º"/>
      <w:r>
        <w:t xml:space="preserve">Artigo 4.º</w:t>
      </w:r>
      <w:bookmarkEnd w:id="26"/>
    </w:p>
    <w:p>
      <w:pPr>
        <w:pStyle w:val="FirstParagraph"/>
      </w:pPr>
      <w:r>
        <w:rPr>
          <w:b/>
        </w:rPr>
        <w:t xml:space="preserve">(Atualização dos Valores)</w:t>
      </w:r>
    </w:p>
    <w:p>
      <w:pPr>
        <w:numPr>
          <w:ilvl w:val="0"/>
          <w:numId w:val="1002"/>
        </w:numPr>
        <w:pStyle w:val="Compact"/>
      </w:pPr>
      <w:r>
        <w:t xml:space="preserve">Os valores das quotas fixados no artigo anterior podem ser atualizados anualmente pela Direção, com parecer prévio do Conselho Fiscal.</w:t>
      </w:r>
    </w:p>
    <w:p>
      <w:pPr>
        <w:numPr>
          <w:ilvl w:val="0"/>
          <w:numId w:val="1002"/>
        </w:numPr>
        <w:pStyle w:val="Compact"/>
      </w:pPr>
      <w:r>
        <w:t xml:space="preserve">Qualquer proposta de alteração deve ser comunicada a todos os associados com uma antecedência mínima de 60 (sessenta) dias em relação à data da sua entrada em vigor.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492bb30b8b334fab0b84a589fdfee6fcd6db42f"/>
      <w:r>
        <w:t xml:space="preserve">CAPÍTULO III – PAGAMENTO E GESTÃO DE QUOTAS</w:t>
      </w:r>
      <w:bookmarkEnd w:id="27"/>
    </w:p>
    <w:p>
      <w:pPr>
        <w:pStyle w:val="Heading3"/>
      </w:pPr>
      <w:bookmarkStart w:id="28" w:name="artigo-5.º"/>
      <w:r>
        <w:t xml:space="preserve">Artigo 5.º</w:t>
      </w:r>
      <w:bookmarkEnd w:id="28"/>
    </w:p>
    <w:p>
      <w:pPr>
        <w:pStyle w:val="FirstParagraph"/>
      </w:pPr>
      <w:r>
        <w:rPr>
          <w:b/>
        </w:rPr>
        <w:t xml:space="preserve">(Métodos de Pagamento)</w:t>
      </w:r>
    </w:p>
    <w:p>
      <w:pPr>
        <w:numPr>
          <w:ilvl w:val="0"/>
          <w:numId w:val="1003"/>
        </w:numPr>
        <w:pStyle w:val="Compact"/>
      </w:pPr>
      <w:r>
        <w:t xml:space="preserve">O pagamento das quotas poderá ser efetuado através dos seguintes meios: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Transferência Bancária:</w:t>
      </w:r>
      <w:r>
        <w:t xml:space="preserve"> </w:t>
      </w:r>
      <w:r>
        <w:t xml:space="preserve">Para o IBAN da conta oficial do Instituto, a ser divulgado oportunamente.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Débito Direto:</w:t>
      </w:r>
      <w:r>
        <w:t xml:space="preserve"> </w:t>
      </w:r>
      <w:r>
        <w:t xml:space="preserve">Mediante autorização prévia do associado.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Referência Multibanco:</w:t>
      </w:r>
      <w:r>
        <w:t xml:space="preserve"> </w:t>
      </w:r>
      <w:r>
        <w:t xml:space="preserve">A ser disponibilizada pela Secretaria.</w:t>
      </w:r>
    </w:p>
    <w:p>
      <w:pPr>
        <w:numPr>
          <w:ilvl w:val="0"/>
          <w:numId w:val="1003"/>
        </w:numPr>
        <w:pStyle w:val="Compact"/>
      </w:pPr>
      <w:r>
        <w:t xml:space="preserve">O comprovativo de pagamento por transferência bancária deve ser enviado para o email oficial do Instituto, com a identificação do associado.</w:t>
      </w:r>
    </w:p>
    <w:p>
      <w:pPr>
        <w:pStyle w:val="Heading3"/>
      </w:pPr>
      <w:bookmarkStart w:id="29" w:name="artigo-6.º"/>
      <w:r>
        <w:t xml:space="preserve">Artigo 6.º</w:t>
      </w:r>
      <w:bookmarkEnd w:id="29"/>
    </w:p>
    <w:p>
      <w:pPr>
        <w:pStyle w:val="FirstParagraph"/>
      </w:pPr>
      <w:r>
        <w:rPr>
          <w:b/>
        </w:rPr>
        <w:t xml:space="preserve">(Recibos)</w:t>
      </w:r>
    </w:p>
    <w:p>
      <w:pPr>
        <w:pStyle w:val="BodyText"/>
      </w:pPr>
      <w:r>
        <w:t xml:space="preserve">Após a boa cobrança, a Secretaria emitirá um recibo de quitação, que será enviado ao associado por via eletrónica. Este recibo serve como comprovativo para efeitos fiscais, nos termos da legislação em vigor sobre donativos a IPSS.</w:t>
      </w:r>
    </w:p>
    <w:p>
      <w:pPr>
        <w:pStyle w:val="Heading3"/>
      </w:pPr>
      <w:bookmarkStart w:id="30" w:name="artigo-7.º"/>
      <w:r>
        <w:t xml:space="preserve">Artigo 7.º</w:t>
      </w:r>
      <w:bookmarkEnd w:id="30"/>
    </w:p>
    <w:p>
      <w:pPr>
        <w:pStyle w:val="FirstParagraph"/>
      </w:pPr>
      <w:r>
        <w:rPr>
          <w:b/>
        </w:rPr>
        <w:t xml:space="preserve">(Incumprimento)</w:t>
      </w:r>
    </w:p>
    <w:p>
      <w:pPr>
        <w:numPr>
          <w:ilvl w:val="0"/>
          <w:numId w:val="1005"/>
        </w:numPr>
        <w:pStyle w:val="Compact"/>
      </w:pPr>
      <w:r>
        <w:t xml:space="preserve">A falta de pagamento de quotas por um período superior a 3 (três) meses confere ao associado o estatuto de</w:t>
      </w:r>
      <w:r>
        <w:t xml:space="preserve"> </w:t>
      </w:r>
      <w:r>
        <w:t xml:space="preserve">“</w:t>
      </w:r>
      <w:r>
        <w:t xml:space="preserve">associado com quotas em atraso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 Secretaria notificará o associado por via eletrónica para proceder à regularização da sua situação no prazo de 30 (trinta) dias.</w:t>
      </w:r>
    </w:p>
    <w:p>
      <w:pPr>
        <w:numPr>
          <w:ilvl w:val="0"/>
          <w:numId w:val="1005"/>
        </w:numPr>
        <w:pStyle w:val="Compact"/>
      </w:pPr>
      <w:r>
        <w:t xml:space="preserve">O não pagamento de quotas por um período superior a 6 (seis) meses, e após a notificação referida no número anterior, implica a suspensão imediata de todos os direitos associativos, incluindo o direito de voto e de participação em atividades exclusivas para associados.</w:t>
      </w:r>
    </w:p>
    <w:p>
      <w:pPr>
        <w:numPr>
          <w:ilvl w:val="0"/>
          <w:numId w:val="1005"/>
        </w:numPr>
        <w:pStyle w:val="Compact"/>
      </w:pPr>
      <w:r>
        <w:t xml:space="preserve">A situação de incumprimento prolongado por mais de 12 (doze) meses poderá dar início a um processo de exclusão, nos termos dos Estatutos e do Regulamento Interno.</w:t>
      </w:r>
    </w:p>
    <w:p>
      <w:pPr>
        <w:pStyle w:val="Heading3"/>
      </w:pPr>
      <w:bookmarkStart w:id="31" w:name="artigo-8.º"/>
      <w:r>
        <w:t xml:space="preserve">Artigo 8.º</w:t>
      </w:r>
      <w:bookmarkEnd w:id="31"/>
    </w:p>
    <w:p>
      <w:pPr>
        <w:pStyle w:val="FirstParagraph"/>
      </w:pPr>
      <w:r>
        <w:rPr>
          <w:b/>
        </w:rPr>
        <w:t xml:space="preserve">(Regularização de Dívidas)</w:t>
      </w:r>
    </w:p>
    <w:p>
      <w:pPr>
        <w:pStyle w:val="BodyText"/>
      </w:pPr>
      <w:r>
        <w:t xml:space="preserve">A Direção poderá aprovar planos de pagamento especiais para a regularização de quotas em atraso, mediante pedido fundamentado do associado.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apítulo-iv-outras-contribuições"/>
      <w:r>
        <w:t xml:space="preserve">CAPÍTULO IV – OUTRAS CONTRIBUIÇÕES</w:t>
      </w:r>
      <w:bookmarkEnd w:id="32"/>
    </w:p>
    <w:p>
      <w:pPr>
        <w:pStyle w:val="Heading3"/>
      </w:pPr>
      <w:bookmarkStart w:id="33" w:name="artigo-9.º"/>
      <w:r>
        <w:t xml:space="preserve">Artigo 9.º</w:t>
      </w:r>
      <w:bookmarkEnd w:id="33"/>
    </w:p>
    <w:p>
      <w:pPr>
        <w:pStyle w:val="FirstParagraph"/>
      </w:pPr>
      <w:r>
        <w:rPr>
          <w:b/>
        </w:rPr>
        <w:t xml:space="preserve">(Donativos e Patrocínios)</w:t>
      </w:r>
    </w:p>
    <w:p>
      <w:pPr>
        <w:numPr>
          <w:ilvl w:val="0"/>
          <w:numId w:val="1006"/>
        </w:numPr>
        <w:pStyle w:val="Compact"/>
      </w:pPr>
      <w:r>
        <w:t xml:space="preserve">O Instituto pode receber donativos, em dinheiro ou em espécie, de pessoas singulares ou coletivas que desejem apoiar a sua missão.</w:t>
      </w:r>
    </w:p>
    <w:p>
      <w:pPr>
        <w:numPr>
          <w:ilvl w:val="0"/>
          <w:numId w:val="1006"/>
        </w:numPr>
        <w:pStyle w:val="Compact"/>
      </w:pPr>
      <w:r>
        <w:t xml:space="preserve">Os patrocínios de empresas ou outras entidades serão formalizados através de um</w:t>
      </w:r>
      <w:r>
        <w:t xml:space="preserve"> </w:t>
      </w:r>
      <w:r>
        <w:rPr>
          <w:b/>
        </w:rPr>
        <w:t xml:space="preserve">protocolo de patrocínio</w:t>
      </w:r>
      <w:r>
        <w:t xml:space="preserve">, que definirá as contrapartidas e os direitos e deveres de ambas as partes.</w:t>
      </w:r>
    </w:p>
    <w:p>
      <w:pPr>
        <w:numPr>
          <w:ilvl w:val="0"/>
          <w:numId w:val="1006"/>
        </w:numPr>
        <w:pStyle w:val="Compact"/>
      </w:pPr>
      <w:r>
        <w:t xml:space="preserve">Todos os donativos e patrocínios serão objeto de emissão de recibo para efeitos de benefícios fiscais, nos termos da lei.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capítulo-v-disposições-finais"/>
      <w:r>
        <w:t xml:space="preserve">CAPÍTULO V – DISPOSIÇÕES FINAIS</w:t>
      </w:r>
      <w:bookmarkEnd w:id="34"/>
    </w:p>
    <w:p>
      <w:pPr>
        <w:pStyle w:val="Heading3"/>
      </w:pPr>
      <w:bookmarkStart w:id="35" w:name="artigo-10.º"/>
      <w:r>
        <w:t xml:space="preserve">Artigo 10.º</w:t>
      </w:r>
      <w:bookmarkEnd w:id="35"/>
    </w:p>
    <w:p>
      <w:pPr>
        <w:pStyle w:val="FirstParagraph"/>
      </w:pPr>
      <w:r>
        <w:rPr>
          <w:b/>
        </w:rPr>
        <w:t xml:space="preserve">(Dúvidas e Omissões)</w:t>
      </w:r>
    </w:p>
    <w:p>
      <w:pPr>
        <w:pStyle w:val="BodyText"/>
      </w:pPr>
      <w:r>
        <w:t xml:space="preserve">As dúvidas e omissões resultantes da aplicação deste regulamento serão resolvidas pela Direção, em conformidade com os Estatutos e a legislação em vigor.</w:t>
      </w:r>
    </w:p>
    <w:p>
      <w:pPr>
        <w:pStyle w:val="Heading3"/>
      </w:pPr>
      <w:bookmarkStart w:id="36" w:name="artigo-11.º"/>
      <w:r>
        <w:t xml:space="preserve">Artigo 11.º</w:t>
      </w:r>
      <w:bookmarkEnd w:id="36"/>
    </w:p>
    <w:p>
      <w:pPr>
        <w:pStyle w:val="FirstParagraph"/>
      </w:pPr>
      <w:r>
        <w:rPr>
          <w:b/>
        </w:rPr>
        <w:t xml:space="preserve">(Entrada em Vigor)</w:t>
      </w:r>
    </w:p>
    <w:p>
      <w:pPr>
        <w:pStyle w:val="BodyText"/>
      </w:pPr>
      <w:r>
        <w:t xml:space="preserve">O presente Regulamento de Quotas e Contribuições entra em vigor imediatamente após a sua aprovação pela Direção.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Aprovado em Reunião de Direção de [Data da Primeira Reunião de Direção]</w:t>
      </w:r>
    </w:p>
    <w:p>
      <w:pPr>
        <w:pStyle w:val="BodyText"/>
      </w:pPr>
      <w:r>
        <w:rPr>
          <w:b/>
        </w:rPr>
        <w:t xml:space="preserve">A Direção,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(António, Presidente)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(Marcos, Secretário)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(Diego, Tesoureiro)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721">
    <w:nsid w:val="71315dca"/>
    <w:multiLevelType w:val="multilevel"/>
    <w:lvl w:ilvl="0">
      <w:start w:val="1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2025-10-11T20:09:26Z</dcterms:created>
  <dcterms:modified xsi:type="dcterms:W3CDTF">2025-10-11T20:09:26Z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