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360" w:lineRule="auto"/>
      </w:pPr>
      <w:r>
        <w:rPr>
          <w:rFonts w:ascii="Google Sans" w:cs="Google Sans" w:eastAsia="Google Sans" w:hAnsi="Google Sans"/>
          <w:b/>
          <w:bCs/>
          <w:color w:val="3c4043"/>
          <w:sz w:val="40"/>
          <w:szCs w:val="40"/>
        </w:rPr>
        <w:t xml:space="preserve">Incident handler's journal</w:t>
      </w:r>
    </w:p>
    <w:p>
      <w:pPr>
        <w:spacing w:after="100" w:line="360" w:lineRule="auto"/>
      </w:pPr>
      <w:r>
        <w:rPr>
          <w:rFonts w:ascii="Google Sans" w:cs="Google Sans" w:eastAsia="Google Sans" w:hAnsi="Google Sans"/>
          <w:b/>
          <w:bCs/>
          <w:color w:val="34a853"/>
          <w:sz w:val="24"/>
          <w:szCs w:val="24"/>
        </w:rPr>
        <w:t xml:space="preserve">Instructions</w:t>
      </w:r>
    </w:p>
    <w:p>
      <w:pPr>
        <w:spacing w:after="100" w:line="360" w:lineRule="auto"/>
      </w:pPr>
      <w:r>
        <w:rPr>
          <w:rFonts w:ascii="Google Sans" w:cs="Google Sans" w:eastAsia="Google Sans" w:hAnsi="Google Sans"/>
          <w:b w:val="false"/>
          <w:bCs w:val="false"/>
          <w:color w:val="3c4043"/>
          <w:sz w:val="24"/>
          <w:szCs w:val="24"/>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p>
      <w:pPr>
        <w:spacing w:after="100" w:line="360" w:lineRule="auto"/>
      </w:pPr>
      <w:r>
        <w:rPr>
          <w:rFonts w:ascii="Google Sans" w:cs="Google Sans" w:eastAsia="Google Sans" w:hAnsi="Google Sans"/>
          <w:b w:val="false"/>
          <w:bCs w:val="false"/>
          <w:color w:val="3c4043"/>
          <w:sz w:val="24"/>
          <w:szCs w:val="2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5"/>
        <w:gridCol w:w="8025"/>
      </w:tblGrid>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tcPr>
          <w:p>
            <w:pPr>
              <w:spacing w:after="100" w:line="360" w:lineRule="auto"/>
            </w:pPr>
            <w:r>
              <w:rPr>
                <w:rFonts w:ascii="Google Sans" w:cs="Google Sans" w:eastAsia="Google Sans" w:hAnsi="Google Sans"/>
                <w:b/>
                <w:bCs/>
                <w:color w:val="3c4043"/>
                <w:sz w:val="24"/>
                <w:szCs w:val="24"/>
              </w:rPr>
              <w:t xml:space="preserve">Date:</w:t>
            </w:r>
          </w:p>
          <w:p>
            <w:pPr>
              <w:spacing w:after="100" w:line="360" w:lineRule="auto"/>
            </w:pPr>
            <w:r>
              <w:rPr>
                <w:rFonts w:ascii="Google Sans" w:cs="Google Sans" w:eastAsia="Google Sans" w:hAnsi="Google Sans"/>
                <w:b w:val="false"/>
                <w:bCs w:val="false"/>
                <w:color w:val="3c4043"/>
                <w:sz w:val="24"/>
                <w:szCs w:val="24"/>
              </w:rPr>
              <w:t xml:space="preserve">March 5, 2025</w:t>
            </w:r>
          </w:p>
        </w:tc>
        <w:tc>
          <w:tcPr>
            <w:tcW w:type="dxa" w:w="802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tcPr>
          <w:p>
            <w:pPr>
              <w:spacing w:after="100" w:line="360" w:lineRule="auto"/>
            </w:pPr>
            <w:r>
              <w:rPr>
                <w:rFonts w:ascii="Google Sans" w:cs="Google Sans" w:eastAsia="Google Sans" w:hAnsi="Google Sans"/>
                <w:b/>
                <w:bCs/>
                <w:color w:val="3c4043"/>
                <w:sz w:val="24"/>
                <w:szCs w:val="24"/>
              </w:rPr>
              <w:t xml:space="preserve">Entry:</w:t>
            </w:r>
          </w:p>
          <w:p>
            <w:pPr>
              <w:spacing w:after="100" w:line="360" w:lineRule="auto"/>
            </w:pPr>
            <w:r>
              <w:rPr>
                <w:rFonts w:ascii="Google Sans" w:cs="Google Sans" w:eastAsia="Google Sans" w:hAnsi="Google Sans"/>
                <w:b w:val="false"/>
                <w:bCs w:val="false"/>
                <w:color w:val="3c4043"/>
                <w:sz w:val="24"/>
                <w:szCs w:val="24"/>
              </w:rPr>
              <w:t xml:space="preserve">1</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Description</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Investigated a ransomware security incident affecting a U.S. healthcare clinic. Using the NIST Incident Response Lifecycle framework, I analyzed the incident and applied a playbook to guide containment and recovery actions. This entry covers the Detection and Analysis phase of the lifecycle.</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Tool(s) used</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Incident response playbook, NIST CSF</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The 5 W's</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Who: </w:t>
            </w:r>
            <w:r>
              <w:rPr>
                <w:rFonts w:ascii="Google Sans" w:cs="Google Sans" w:eastAsia="Google Sans" w:hAnsi="Google Sans"/>
                <w:b w:val="false"/>
                <w:bCs w:val="false"/>
                <w:color w:val="3c4043"/>
                <w:sz w:val="24"/>
                <w:szCs w:val="24"/>
              </w:rPr>
              <w:t xml:space="preserve">An organized group of unethical hackers.</w:t>
            </w:r>
          </w:p>
          <w:p>
            <w:pPr>
              <w:spacing w:after="100" w:line="360" w:lineRule="auto"/>
            </w:pPr>
            <w:r>
              <w:rPr>
                <w:rFonts w:ascii="Google Sans" w:cs="Google Sans" w:eastAsia="Google Sans" w:hAnsi="Google Sans"/>
                <w:b/>
                <w:bCs/>
                <w:color w:val="3c4043"/>
                <w:sz w:val="24"/>
                <w:szCs w:val="24"/>
              </w:rPr>
              <w:t xml:space="preserve">What: </w:t>
            </w:r>
            <w:r>
              <w:rPr>
                <w:rFonts w:ascii="Google Sans" w:cs="Google Sans" w:eastAsia="Google Sans" w:hAnsi="Google Sans"/>
                <w:b w:val="false"/>
                <w:bCs w:val="false"/>
                <w:color w:val="3c4043"/>
                <w:sz w:val="24"/>
                <w:szCs w:val="24"/>
              </w:rPr>
              <w:t xml:space="preserve">A ransomware attack that encrypted critical files and disrupted business operations. Employees were unable to access patient records and medical equipment.</w:t>
            </w:r>
          </w:p>
          <w:p>
            <w:pPr>
              <w:spacing w:after="100" w:line="360" w:lineRule="auto"/>
            </w:pPr>
            <w:r>
              <w:rPr>
                <w:rFonts w:ascii="Google Sans" w:cs="Google Sans" w:eastAsia="Google Sans" w:hAnsi="Google Sans"/>
                <w:b/>
                <w:bCs/>
                <w:color w:val="3c4043"/>
                <w:sz w:val="24"/>
                <w:szCs w:val="24"/>
              </w:rPr>
              <w:t xml:space="preserve">When: </w:t>
            </w:r>
            <w:r>
              <w:rPr>
                <w:rFonts w:ascii="Google Sans" w:cs="Google Sans" w:eastAsia="Google Sans" w:hAnsi="Google Sans"/>
                <w:b w:val="false"/>
                <w:bCs w:val="false"/>
                <w:color w:val="3c4043"/>
                <w:sz w:val="24"/>
                <w:szCs w:val="24"/>
              </w:rPr>
              <w:t xml:space="preserve">Tuesday morning at approximately 9:00 a.m.</w:t>
            </w:r>
          </w:p>
          <w:p>
            <w:pPr>
              <w:spacing w:after="100" w:line="360" w:lineRule="auto"/>
            </w:pPr>
            <w:r>
              <w:rPr>
                <w:rFonts w:ascii="Google Sans" w:cs="Google Sans" w:eastAsia="Google Sans" w:hAnsi="Google Sans"/>
                <w:b/>
                <w:bCs/>
                <w:color w:val="3c4043"/>
                <w:sz w:val="24"/>
                <w:szCs w:val="24"/>
              </w:rPr>
              <w:t xml:space="preserve">Where: </w:t>
            </w:r>
            <w:r>
              <w:rPr>
                <w:rFonts w:ascii="Google Sans" w:cs="Google Sans" w:eastAsia="Google Sans" w:hAnsi="Google Sans"/>
                <w:b w:val="false"/>
                <w:bCs w:val="false"/>
                <w:color w:val="3c4043"/>
                <w:sz w:val="24"/>
                <w:szCs w:val="24"/>
              </w:rPr>
              <w:t xml:space="preserve">A small U.S. healthcare clinic.</w:t>
            </w:r>
          </w:p>
          <w:p>
            <w:pPr>
              <w:spacing w:after="100" w:line="360" w:lineRule="auto"/>
            </w:pPr>
            <w:r>
              <w:rPr>
                <w:rFonts w:ascii="Google Sans" w:cs="Google Sans" w:eastAsia="Google Sans" w:hAnsi="Google Sans"/>
                <w:b/>
                <w:bCs/>
                <w:color w:val="3c4043"/>
                <w:sz w:val="24"/>
                <w:szCs w:val="24"/>
              </w:rPr>
              <w:t xml:space="preserve">Why: </w:t>
            </w:r>
            <w:r>
              <w:rPr>
                <w:rFonts w:ascii="Google Sans" w:cs="Google Sans" w:eastAsia="Google Sans" w:hAnsi="Google Sans"/>
                <w:b w:val="false"/>
                <w:bCs w:val="false"/>
                <w:color w:val="3c4043"/>
                <w:sz w:val="24"/>
                <w:szCs w:val="24"/>
              </w:rPr>
              <w:t xml:space="preserve">The attackers gained access through targeted phishing emails sent to employees. The malware was deployed after an employee clicked a malicious link, triggering the ransomware payload.</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Additional notes</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This activity reinforced how critical playbooks are during an active incident. Following structured steps helped avoid overlooking key containment steps. I also noted how ransomware incidents in healthcare are particularly severe due to the impact on patient safety.</w:t>
            </w:r>
          </w:p>
        </w:tc>
      </w:tr>
    </w:tbl>
    <w:p>
      <w:pPr>
        <w:spacing w:after="100" w:line="360" w:lineRule="auto"/>
      </w:pPr>
      <w:r>
        <w:rPr>
          <w:rFonts w:ascii="Google Sans" w:cs="Google Sans" w:eastAsia="Google Sans" w:hAnsi="Google Sans"/>
          <w:b w:val="false"/>
          <w:bCs w:val="false"/>
          <w:color w:val="3c4043"/>
          <w:sz w:val="24"/>
          <w:szCs w:val="2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5"/>
        <w:gridCol w:w="8025"/>
      </w:tblGrid>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tcPr>
          <w:p>
            <w:pPr>
              <w:spacing w:after="100" w:line="360" w:lineRule="auto"/>
            </w:pPr>
            <w:r>
              <w:rPr>
                <w:rFonts w:ascii="Google Sans" w:cs="Google Sans" w:eastAsia="Google Sans" w:hAnsi="Google Sans"/>
                <w:b/>
                <w:bCs/>
                <w:color w:val="3c4043"/>
                <w:sz w:val="24"/>
                <w:szCs w:val="24"/>
              </w:rPr>
              <w:t xml:space="preserve">Date:</w:t>
            </w:r>
          </w:p>
          <w:p>
            <w:pPr>
              <w:spacing w:after="100" w:line="360" w:lineRule="auto"/>
            </w:pPr>
            <w:r>
              <w:rPr>
                <w:rFonts w:ascii="Google Sans" w:cs="Google Sans" w:eastAsia="Google Sans" w:hAnsi="Google Sans"/>
                <w:b w:val="false"/>
                <w:bCs w:val="false"/>
                <w:color w:val="3c4043"/>
                <w:sz w:val="24"/>
                <w:szCs w:val="24"/>
              </w:rPr>
              <w:t xml:space="preserve">March 10, 2025</w:t>
            </w:r>
          </w:p>
        </w:tc>
        <w:tc>
          <w:tcPr>
            <w:tcW w:type="dxa" w:w="802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tcPr>
          <w:p>
            <w:pPr>
              <w:spacing w:after="100" w:line="360" w:lineRule="auto"/>
            </w:pPr>
            <w:r>
              <w:rPr>
                <w:rFonts w:ascii="Google Sans" w:cs="Google Sans" w:eastAsia="Google Sans" w:hAnsi="Google Sans"/>
                <w:b/>
                <w:bCs/>
                <w:color w:val="3c4043"/>
                <w:sz w:val="24"/>
                <w:szCs w:val="24"/>
              </w:rPr>
              <w:t xml:space="preserve">Entry:</w:t>
            </w:r>
          </w:p>
          <w:p>
            <w:pPr>
              <w:spacing w:after="100" w:line="360" w:lineRule="auto"/>
            </w:pPr>
            <w:r>
              <w:rPr>
                <w:rFonts w:ascii="Google Sans" w:cs="Google Sans" w:eastAsia="Google Sans" w:hAnsi="Google Sans"/>
                <w:b w:val="false"/>
                <w:bCs w:val="false"/>
                <w:color w:val="3c4043"/>
                <w:sz w:val="24"/>
                <w:szCs w:val="24"/>
              </w:rPr>
              <w:t xml:space="preserve">2</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Description</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Investigated a suspicious file hash flagged by an IDS alert. I used VirusTotal to analyze the hash and determine whether it was associated with known malware. This activity aligned with the Detection and Analysis phase, as I examined indicators of compromise (IoCs) to assess the severity of a potential threat.</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Tool(s) used</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VirusTotal, SHA256 hash analysis</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The 5 W's</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Who: </w:t>
            </w:r>
            <w:r>
              <w:rPr>
                <w:rFonts w:ascii="Google Sans" w:cs="Google Sans" w:eastAsia="Google Sans" w:hAnsi="Google Sans"/>
                <w:b w:val="false"/>
                <w:bCs w:val="false"/>
                <w:color w:val="3c4043"/>
                <w:sz w:val="24"/>
                <w:szCs w:val="24"/>
              </w:rPr>
              <w:t xml:space="preserve">An unknown threat actor who sent a malicious file disguised as a password policy update email.</w:t>
            </w:r>
          </w:p>
          <w:p>
            <w:pPr>
              <w:spacing w:after="100" w:line="360" w:lineRule="auto"/>
            </w:pPr>
            <w:r>
              <w:rPr>
                <w:rFonts w:ascii="Google Sans" w:cs="Google Sans" w:eastAsia="Google Sans" w:hAnsi="Google Sans"/>
                <w:b/>
                <w:bCs/>
                <w:color w:val="3c4043"/>
                <w:sz w:val="24"/>
                <w:szCs w:val="24"/>
              </w:rPr>
              <w:t xml:space="preserve">What: </w:t>
            </w:r>
            <w:r>
              <w:rPr>
                <w:rFonts w:ascii="Google Sans" w:cs="Google Sans" w:eastAsia="Google Sans" w:hAnsi="Google Sans"/>
                <w:b w:val="false"/>
                <w:bCs w:val="false"/>
                <w:color w:val="3c4043"/>
                <w:sz w:val="24"/>
                <w:szCs w:val="24"/>
              </w:rPr>
              <w:t xml:space="preserve">A malicious file hash (SHA-256) was detected by the intrusion detection system and flagged for investigation.</w:t>
            </w:r>
          </w:p>
          <w:p>
            <w:pPr>
              <w:spacing w:after="100" w:line="360" w:lineRule="auto"/>
            </w:pPr>
            <w:r>
              <w:rPr>
                <w:rFonts w:ascii="Google Sans" w:cs="Google Sans" w:eastAsia="Google Sans" w:hAnsi="Google Sans"/>
                <w:b/>
                <w:bCs/>
                <w:color w:val="3c4043"/>
                <w:sz w:val="24"/>
                <w:szCs w:val="24"/>
              </w:rPr>
              <w:t xml:space="preserve">When: </w:t>
            </w:r>
            <w:r>
              <w:rPr>
                <w:rFonts w:ascii="Google Sans" w:cs="Google Sans" w:eastAsia="Google Sans" w:hAnsi="Google Sans"/>
                <w:b w:val="false"/>
                <w:bCs w:val="false"/>
                <w:color w:val="3c4043"/>
                <w:sz w:val="24"/>
                <w:szCs w:val="24"/>
              </w:rPr>
              <w:t xml:space="preserve">During a routine IDS alert review.</w:t>
            </w:r>
          </w:p>
          <w:p>
            <w:pPr>
              <w:spacing w:after="100" w:line="360" w:lineRule="auto"/>
            </w:pPr>
            <w:r>
              <w:rPr>
                <w:rFonts w:ascii="Google Sans" w:cs="Google Sans" w:eastAsia="Google Sans" w:hAnsi="Google Sans"/>
                <w:b/>
                <w:bCs/>
                <w:color w:val="3c4043"/>
                <w:sz w:val="24"/>
                <w:szCs w:val="24"/>
              </w:rPr>
              <w:t xml:space="preserve">Where: </w:t>
            </w:r>
            <w:r>
              <w:rPr>
                <w:rFonts w:ascii="Google Sans" w:cs="Google Sans" w:eastAsia="Google Sans" w:hAnsi="Google Sans"/>
                <w:b w:val="false"/>
                <w:bCs w:val="false"/>
                <w:color w:val="3c4043"/>
                <w:sz w:val="24"/>
                <w:szCs w:val="24"/>
              </w:rPr>
              <w:t xml:space="preserve">Within the organization's endpoint and email systems.</w:t>
            </w:r>
          </w:p>
          <w:p>
            <w:pPr>
              <w:spacing w:after="100" w:line="360" w:lineRule="auto"/>
            </w:pPr>
            <w:r>
              <w:rPr>
                <w:rFonts w:ascii="Google Sans" w:cs="Google Sans" w:eastAsia="Google Sans" w:hAnsi="Google Sans"/>
                <w:b/>
                <w:bCs/>
                <w:color w:val="3c4043"/>
                <w:sz w:val="24"/>
                <w:szCs w:val="24"/>
              </w:rPr>
              <w:t xml:space="preserve">Why: </w:t>
            </w:r>
            <w:r>
              <w:rPr>
                <w:rFonts w:ascii="Google Sans" w:cs="Google Sans" w:eastAsia="Google Sans" w:hAnsi="Google Sans"/>
                <w:b w:val="false"/>
                <w:bCs w:val="false"/>
                <w:color w:val="3c4043"/>
                <w:sz w:val="24"/>
                <w:szCs w:val="24"/>
              </w:rPr>
              <w:t xml:space="preserve">The attacker attempted to distribute malware by disguising a malicious executable as a legitimate HR document. The goal was likely data exfiltration or remote access.</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Additional notes</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VirusTotal was a powerful tool for quickly cross-referencing a file hash against multiple antivirus engines and threat intelligence databases. I learned how to interpret the results — including vendor verdicts, related IoCs, and community scores — to make an informed decision about the file's risk level.</w:t>
            </w:r>
          </w:p>
        </w:tc>
      </w:tr>
    </w:tbl>
    <w:p>
      <w:pPr>
        <w:spacing w:after="100" w:line="360" w:lineRule="auto"/>
      </w:pPr>
      <w:r>
        <w:rPr>
          <w:rFonts w:ascii="Google Sans" w:cs="Google Sans" w:eastAsia="Google Sans" w:hAnsi="Google Sans"/>
          <w:b w:val="false"/>
          <w:bCs w:val="false"/>
          <w:color w:val="3c4043"/>
          <w:sz w:val="24"/>
          <w:szCs w:val="2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5"/>
        <w:gridCol w:w="8025"/>
      </w:tblGrid>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tcPr>
          <w:p>
            <w:pPr>
              <w:spacing w:after="100" w:line="360" w:lineRule="auto"/>
            </w:pPr>
            <w:r>
              <w:rPr>
                <w:rFonts w:ascii="Google Sans" w:cs="Google Sans" w:eastAsia="Google Sans" w:hAnsi="Google Sans"/>
                <w:b/>
                <w:bCs/>
                <w:color w:val="3c4043"/>
                <w:sz w:val="24"/>
                <w:szCs w:val="24"/>
              </w:rPr>
              <w:t xml:space="preserve">Date:</w:t>
            </w:r>
          </w:p>
          <w:p>
            <w:pPr>
              <w:spacing w:after="100" w:line="360" w:lineRule="auto"/>
            </w:pPr>
            <w:r>
              <w:rPr>
                <w:rFonts w:ascii="Google Sans" w:cs="Google Sans" w:eastAsia="Google Sans" w:hAnsi="Google Sans"/>
                <w:b w:val="false"/>
                <w:bCs w:val="false"/>
                <w:color w:val="3c4043"/>
                <w:sz w:val="24"/>
                <w:szCs w:val="24"/>
              </w:rPr>
              <w:t xml:space="preserve">March 15, 2025</w:t>
            </w:r>
          </w:p>
        </w:tc>
        <w:tc>
          <w:tcPr>
            <w:tcW w:type="dxa" w:w="802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tcPr>
          <w:p>
            <w:pPr>
              <w:spacing w:after="100" w:line="360" w:lineRule="auto"/>
            </w:pPr>
            <w:r>
              <w:rPr>
                <w:rFonts w:ascii="Google Sans" w:cs="Google Sans" w:eastAsia="Google Sans" w:hAnsi="Google Sans"/>
                <w:b/>
                <w:bCs/>
                <w:color w:val="3c4043"/>
                <w:sz w:val="24"/>
                <w:szCs w:val="24"/>
              </w:rPr>
              <w:t xml:space="preserve">Entry:</w:t>
            </w:r>
          </w:p>
          <w:p>
            <w:pPr>
              <w:spacing w:after="100" w:line="360" w:lineRule="auto"/>
            </w:pPr>
            <w:r>
              <w:rPr>
                <w:rFonts w:ascii="Google Sans" w:cs="Google Sans" w:eastAsia="Google Sans" w:hAnsi="Google Sans"/>
                <w:b w:val="false"/>
                <w:bCs w:val="false"/>
                <w:color w:val="3c4043"/>
                <w:sz w:val="24"/>
                <w:szCs w:val="24"/>
              </w:rPr>
              <w:t xml:space="preserve">3</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Description</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Captured and analyzed network packet data using both tcpdump (command-line) and Wireshark (GUI). I practiced filtering traffic by protocol and IP address to identify patterns in network communications. This activity is associated with the Detection and Analysis phase, as packet analysis is a key technique for identifying suspicious network behavior.</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Tool(s) used</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tcpdump, Wireshark</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The 5 W's</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N/A — This entry documents a tool exploration activity, not an active incident investigation.</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Additional notes</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Key takeaways:</w:t>
            </w:r>
          </w:p>
          <w:p>
            <w:pPr>
              <w:spacing w:after="100" w:line="360" w:lineRule="auto"/>
            </w:pPr>
            <w:r>
              <w:rPr>
                <w:rFonts w:ascii="Google Sans" w:cs="Google Sans" w:eastAsia="Google Sans" w:hAnsi="Google Sans"/>
                <w:b/>
                <w:bCs/>
                <w:color w:val="3c4043"/>
                <w:sz w:val="24"/>
                <w:szCs w:val="24"/>
              </w:rPr>
              <w:t xml:space="preserve">tcpdump </w:t>
            </w:r>
            <w:r>
              <w:rPr>
                <w:rFonts w:ascii="Google Sans" w:cs="Google Sans" w:eastAsia="Google Sans" w:hAnsi="Google Sans"/>
                <w:b w:val="false"/>
                <w:bCs w:val="false"/>
                <w:color w:val="3c4043"/>
                <w:sz w:val="24"/>
                <w:szCs w:val="24"/>
              </w:rPr>
              <w:t xml:space="preserve">is efficient for quick captures directly in the terminal, ideal for remote server environments where a GUI is not available.</w:t>
            </w:r>
          </w:p>
          <w:p>
            <w:pPr>
              <w:spacing w:after="100" w:line="360" w:lineRule="auto"/>
            </w:pPr>
            <w:r>
              <w:rPr>
                <w:rFonts w:ascii="Google Sans" w:cs="Google Sans" w:eastAsia="Google Sans" w:hAnsi="Google Sans"/>
                <w:b/>
                <w:bCs/>
                <w:color w:val="3c4043"/>
                <w:sz w:val="24"/>
                <w:szCs w:val="24"/>
              </w:rPr>
              <w:t xml:space="preserve">Wireshark </w:t>
            </w:r>
            <w:r>
              <w:rPr>
                <w:rFonts w:ascii="Google Sans" w:cs="Google Sans" w:eastAsia="Google Sans" w:hAnsi="Google Sans"/>
                <w:b w:val="false"/>
                <w:bCs w:val="false"/>
                <w:color w:val="3c4043"/>
                <w:sz w:val="24"/>
                <w:szCs w:val="24"/>
              </w:rPr>
              <w:t xml:space="preserve">provides a visual and highly filterable interface that makes it easier to trace conversations and follow TCP streams.</w:t>
            </w:r>
          </w:p>
          <w:p>
            <w:pPr>
              <w:spacing w:after="100" w:line="360" w:lineRule="auto"/>
            </w:pPr>
            <w:r>
              <w:rPr>
                <w:rFonts w:ascii="Google Sans" w:cs="Google Sans" w:eastAsia="Google Sans" w:hAnsi="Google Sans"/>
                <w:b w:val="false"/>
                <w:bCs w:val="false"/>
                <w:color w:val="3c4043"/>
                <w:sz w:val="24"/>
                <w:szCs w:val="24"/>
              </w:rPr>
              <w:t xml:space="preserve">I practiced filters such as ip.addr == and tcp.port == to isolate specific traffic. Understanding packet structure — including IP headers, TCP flags, and payload data — is essential for identifying anomalies like port scans or unexpected outbound connections.</w:t>
            </w:r>
          </w:p>
        </w:tc>
      </w:tr>
    </w:tbl>
    <w:p>
      <w:pPr>
        <w:spacing w:after="100" w:line="360" w:lineRule="auto"/>
      </w:pPr>
      <w:r>
        <w:rPr>
          <w:rFonts w:ascii="Google Sans" w:cs="Google Sans" w:eastAsia="Google Sans" w:hAnsi="Google Sans"/>
          <w:b w:val="false"/>
          <w:bCs w:val="false"/>
          <w:color w:val="3c4043"/>
          <w:sz w:val="24"/>
          <w:szCs w:val="2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5"/>
        <w:gridCol w:w="8025"/>
      </w:tblGrid>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tcPr>
          <w:p>
            <w:pPr>
              <w:spacing w:after="100" w:line="360" w:lineRule="auto"/>
            </w:pPr>
            <w:r>
              <w:rPr>
                <w:rFonts w:ascii="Google Sans" w:cs="Google Sans" w:eastAsia="Google Sans" w:hAnsi="Google Sans"/>
                <w:b/>
                <w:bCs/>
                <w:color w:val="3c4043"/>
                <w:sz w:val="24"/>
                <w:szCs w:val="24"/>
              </w:rPr>
              <w:t xml:space="preserve">Date:</w:t>
            </w:r>
          </w:p>
          <w:p>
            <w:pPr>
              <w:spacing w:after="100" w:line="360" w:lineRule="auto"/>
            </w:pPr>
            <w:r>
              <w:rPr>
                <w:rFonts w:ascii="Google Sans" w:cs="Google Sans" w:eastAsia="Google Sans" w:hAnsi="Google Sans"/>
                <w:b w:val="false"/>
                <w:bCs w:val="false"/>
                <w:color w:val="3c4043"/>
                <w:sz w:val="24"/>
                <w:szCs w:val="24"/>
              </w:rPr>
              <w:t xml:space="preserve">March 20, 2025</w:t>
            </w:r>
          </w:p>
        </w:tc>
        <w:tc>
          <w:tcPr>
            <w:tcW w:type="dxa" w:w="802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tcPr>
          <w:p>
            <w:pPr>
              <w:spacing w:after="100" w:line="360" w:lineRule="auto"/>
            </w:pPr>
            <w:r>
              <w:rPr>
                <w:rFonts w:ascii="Google Sans" w:cs="Google Sans" w:eastAsia="Google Sans" w:hAnsi="Google Sans"/>
                <w:b/>
                <w:bCs/>
                <w:color w:val="3c4043"/>
                <w:sz w:val="24"/>
                <w:szCs w:val="24"/>
              </w:rPr>
              <w:t xml:space="preserve">Entry:</w:t>
            </w:r>
          </w:p>
          <w:p>
            <w:pPr>
              <w:spacing w:after="100" w:line="360" w:lineRule="auto"/>
            </w:pPr>
            <w:r>
              <w:rPr>
                <w:rFonts w:ascii="Google Sans" w:cs="Google Sans" w:eastAsia="Google Sans" w:hAnsi="Google Sans"/>
                <w:b w:val="false"/>
                <w:bCs w:val="false"/>
                <w:color w:val="3c4043"/>
                <w:sz w:val="24"/>
                <w:szCs w:val="24"/>
              </w:rPr>
              <w:t xml:space="preserve">4</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Description</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Explored three SIEM and IDS tools: Suricata for signature-based intrusion detection, Splunk for log querying using SPL (Search Processing Language), and Chronicle for threat hunting using UDM (Unified Data Model) search. These tools support the Detection and Analysis phase by enabling analysts to identify and investigate security events at scale.</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Tool(s) used</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Suricata, Splunk, Google Chronicle</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The 5 W's</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val="false"/>
                <w:bCs w:val="false"/>
                <w:color w:val="3c4043"/>
                <w:sz w:val="24"/>
                <w:szCs w:val="24"/>
              </w:rPr>
              <w:t xml:space="preserve">N/A — This entry documents hands-on tool exploration activities across three SIEM/IDS platforms.</w:t>
            </w:r>
          </w:p>
        </w:tc>
      </w:tr>
      <w:tr>
        <w:tc>
          <w:tcPr>
            <w:tcW w:type="dxa" w:w="2055"/>
            <w:tcBorders>
              <w:top w:val="single" w:color="000000" w:sz="8"/>
              <w:left w:val="single" w:color="000000" w:sz="8"/>
              <w:bottom w:val="single" w:color="000000" w:sz="8"/>
              <w:right w:val="single" w:color="000000" w:sz="8"/>
            </w:tcBorders>
            <w:shd w:fill="e8f0fe" w:val="clear"/>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Additional notes</w:t>
            </w:r>
          </w:p>
        </w:tc>
        <w:tc>
          <w:tcPr>
            <w:tcW w:type="dxa" w:w="8025"/>
            <w:tcBorders>
              <w:top w:val="single" w:color="000000" w:sz="8"/>
              <w:left w:val="single" w:color="000000" w:sz="8"/>
              <w:bottom w:val="single" w:color="000000" w:sz="8"/>
              <w:right w:val="single" w:color="000000" w:sz="8"/>
            </w:tcBorders>
            <w:tcMar>
              <w:top w:type="dxa" w:w="100"/>
              <w:left w:type="dxa" w:w="100"/>
              <w:bottom w:type="dxa" w:w="100"/>
              <w:right w:type="dxa" w:w="100"/>
            </w:tcMar>
            <w:vAlign w:val="top"/>
          </w:tcPr>
          <w:p>
            <w:pPr>
              <w:spacing w:after="100" w:line="360" w:lineRule="auto"/>
            </w:pPr>
            <w:r>
              <w:rPr>
                <w:rFonts w:ascii="Google Sans" w:cs="Google Sans" w:eastAsia="Google Sans" w:hAnsi="Google Sans"/>
                <w:b/>
                <w:bCs/>
                <w:color w:val="3c4043"/>
                <w:sz w:val="24"/>
                <w:szCs w:val="24"/>
              </w:rPr>
              <w:t xml:space="preserve">Suricata: </w:t>
            </w:r>
            <w:r>
              <w:rPr>
                <w:rFonts w:ascii="Google Sans" w:cs="Google Sans" w:eastAsia="Google Sans" w:hAnsi="Google Sans"/>
                <w:b w:val="false"/>
                <w:bCs w:val="false"/>
                <w:color w:val="3c4043"/>
                <w:sz w:val="24"/>
                <w:szCs w:val="24"/>
              </w:rPr>
              <w:t xml:space="preserve">Wrote and interpreted custom rules using the action-header-rule_options format. Learned how rev tracks signature versions, and that EVE JSON is Suricata's standard output format for SIEM ingestion.</w:t>
            </w:r>
          </w:p>
          <w:p>
            <w:pPr>
              <w:spacing w:after="100" w:line="360" w:lineRule="auto"/>
            </w:pPr>
            <w:r>
              <w:rPr>
                <w:rFonts w:ascii="Google Sans" w:cs="Google Sans" w:eastAsia="Google Sans" w:hAnsi="Google Sans"/>
                <w:b/>
                <w:bCs/>
                <w:color w:val="3c4043"/>
                <w:sz w:val="24"/>
                <w:szCs w:val="24"/>
              </w:rPr>
              <w:t xml:space="preserve">Splunk: </w:t>
            </w:r>
            <w:r>
              <w:rPr>
                <w:rFonts w:ascii="Google Sans" w:cs="Google Sans" w:eastAsia="Google Sans" w:hAnsi="Google Sans"/>
                <w:b w:val="false"/>
                <w:bCs w:val="false"/>
                <w:color w:val="3c4043"/>
                <w:sz w:val="24"/>
                <w:szCs w:val="24"/>
              </w:rPr>
              <w:t xml:space="preserve">Used SPL to search and filter log data. Practiced index-based searches and applied pipes to refine results. Splunk's interface makes it intuitive to build queries iteratively.</w:t>
            </w:r>
          </w:p>
          <w:p>
            <w:pPr>
              <w:spacing w:after="100" w:line="360" w:lineRule="auto"/>
            </w:pPr>
            <w:r>
              <w:rPr>
                <w:rFonts w:ascii="Google Sans" w:cs="Google Sans" w:eastAsia="Google Sans" w:hAnsi="Google Sans"/>
                <w:b/>
                <w:bCs/>
                <w:color w:val="3c4043"/>
                <w:sz w:val="24"/>
                <w:szCs w:val="24"/>
              </w:rPr>
              <w:t xml:space="preserve">Chronicle: </w:t>
            </w:r>
            <w:r>
              <w:rPr>
                <w:rFonts w:ascii="Google Sans" w:cs="Google Sans" w:eastAsia="Google Sans" w:hAnsi="Google Sans"/>
                <w:b w:val="false"/>
                <w:bCs w:val="false"/>
                <w:color w:val="3c4043"/>
                <w:sz w:val="24"/>
                <w:szCs w:val="24"/>
              </w:rPr>
              <w:t xml:space="preserve">Performed UDM searches to hunt for threats using structured fields like security_result.action and metadata.event_type. Chronicle's normalized data model speeds up cross-source correlation compared to raw log searching.</w:t>
            </w:r>
          </w:p>
        </w:tc>
      </w:tr>
    </w:tbl>
    <w:p>
      <w:pPr>
        <w:spacing w:after="100" w:line="360" w:lineRule="auto"/>
      </w:pPr>
      <w:r>
        <w:rPr>
          <w:rFonts w:ascii="Google Sans" w:cs="Google Sans" w:eastAsia="Google Sans" w:hAnsi="Google Sans"/>
          <w:b w:val="false"/>
          <w:bCs w:val="false"/>
          <w:color w:val="3c4043"/>
          <w:sz w:val="24"/>
          <w:szCs w:val="24"/>
        </w:rPr>
        <w:t xml:space="preserve"/>
      </w:r>
    </w:p>
    <w:p>
      <w:pPr>
        <w:spacing w:after="100" w:line="360" w:lineRule="auto"/>
      </w:pPr>
      <w:r>
        <w:rPr>
          <w:rFonts w:ascii="Google Sans" w:cs="Google Sans" w:eastAsia="Google Sans" w:hAnsi="Google Sans"/>
          <w:b w:val="false"/>
          <w:bCs w:val="false"/>
          <w:color w:val="3c4043"/>
          <w:sz w:val="24"/>
          <w:szCs w:val="24"/>
        </w:rPr>
        <w:t xml:space="preserve"/>
      </w:r>
    </w:p>
    <w:p>
      <w:pPr>
        <w:spacing w:after="100" w:line="360" w:lineRule="auto"/>
      </w:pPr>
      <w:r>
        <w:rPr>
          <w:rFonts w:ascii="Google Sans" w:cs="Google Sans" w:eastAsia="Google Sans" w:hAnsi="Google Sans"/>
          <w:b/>
          <w:bCs/>
          <w:color w:val="34a853"/>
          <w:sz w:val="28"/>
          <w:szCs w:val="28"/>
        </w:rPr>
        <w:t xml:space="preserve">Reflections/Notes</w:t>
      </w:r>
    </w:p>
    <w:p>
      <w:pPr>
        <w:spacing w:after="100" w:line="360" w:lineRule="auto"/>
      </w:pPr>
      <w:r>
        <w:rPr>
          <w:rFonts w:ascii="Google Sans" w:cs="Google Sans" w:eastAsia="Google Sans" w:hAnsi="Google Sans"/>
          <w:b w:val="false"/>
          <w:bCs w:val="false"/>
          <w:color w:val="3c4043"/>
          <w:sz w:val="24"/>
          <w:szCs w:val="24"/>
        </w:rPr>
        <w:t xml:space="preserve"/>
      </w:r>
    </w:p>
    <w:p>
      <w:pPr>
        <w:spacing w:after="100" w:line="360" w:lineRule="auto"/>
      </w:pPr>
      <w:r>
        <w:rPr>
          <w:rFonts w:ascii="Google Sans" w:cs="Google Sans" w:eastAsia="Google Sans" w:hAnsi="Google Sans"/>
          <w:b/>
          <w:bCs/>
          <w:color w:val="3c4043"/>
          <w:sz w:val="24"/>
          <w:szCs w:val="24"/>
        </w:rPr>
        <w:t xml:space="preserve">1. Were there any specific activities that were challenging for you? Why or why not?</w:t>
      </w:r>
    </w:p>
    <w:p>
      <w:pPr>
        <w:spacing w:after="100" w:line="360" w:lineRule="auto"/>
      </w:pPr>
      <w:r>
        <w:rPr>
          <w:rFonts w:ascii="Google Sans" w:cs="Google Sans" w:eastAsia="Google Sans" w:hAnsi="Google Sans"/>
          <w:b w:val="false"/>
          <w:bCs w:val="false"/>
          <w:color w:val="3c4043"/>
          <w:sz w:val="24"/>
          <w:szCs w:val="24"/>
        </w:rPr>
        <w:t xml:space="preserve">The most challenging activity was writing Suricata rules from scratch, as the syntax requires precise formatting across action, header, and rule options fields. Understanding how sid and rev work together, and how EVE JSON output integrates with SIEM tools, required careful attention to detail. Packet analysis with tcpdump was also initially difficult due to the volume of raw output.</w:t>
      </w:r>
    </w:p>
    <w:p>
      <w:pPr>
        <w:spacing w:after="100" w:line="360" w:lineRule="auto"/>
      </w:pPr>
      <w:r>
        <w:rPr>
          <w:rFonts w:ascii="Google Sans" w:cs="Google Sans" w:eastAsia="Google Sans" w:hAnsi="Google Sans"/>
          <w:b w:val="false"/>
          <w:bCs w:val="false"/>
          <w:color w:val="3c4043"/>
          <w:sz w:val="24"/>
          <w:szCs w:val="24"/>
        </w:rPr>
        <w:t xml:space="preserve"/>
      </w:r>
    </w:p>
    <w:p>
      <w:pPr>
        <w:spacing w:after="100" w:line="360" w:lineRule="auto"/>
      </w:pPr>
      <w:r>
        <w:rPr>
          <w:rFonts w:ascii="Google Sans" w:cs="Google Sans" w:eastAsia="Google Sans" w:hAnsi="Google Sans"/>
          <w:b/>
          <w:bCs/>
          <w:color w:val="3c4043"/>
          <w:sz w:val="24"/>
          <w:szCs w:val="24"/>
        </w:rPr>
        <w:t xml:space="preserve">2. Has your understanding of incident detection and response changed since taking this course?</w:t>
      </w:r>
    </w:p>
    <w:p>
      <w:pPr>
        <w:spacing w:after="100" w:line="360" w:lineRule="auto"/>
      </w:pPr>
      <w:r>
        <w:rPr>
          <w:rFonts w:ascii="Google Sans" w:cs="Google Sans" w:eastAsia="Google Sans" w:hAnsi="Google Sans"/>
          <w:b w:val="false"/>
          <w:bCs w:val="false"/>
          <w:color w:val="3c4043"/>
          <w:sz w:val="24"/>
          <w:szCs w:val="24"/>
        </w:rPr>
        <w:t xml:space="preserve">Yes, significantly. Before this course, I understood incident response at a conceptual level. Working through the NIST Incident Response Lifecycle phases — and applying them through real activities like playbook-guided responses and hash investigations — gave me a much more practical understanding of how analysts triage, contain, and document incidents in real environments.</w:t>
      </w:r>
    </w:p>
    <w:p>
      <w:pPr>
        <w:spacing w:after="100" w:line="360" w:lineRule="auto"/>
      </w:pPr>
      <w:r>
        <w:rPr>
          <w:rFonts w:ascii="Google Sans" w:cs="Google Sans" w:eastAsia="Google Sans" w:hAnsi="Google Sans"/>
          <w:b w:val="false"/>
          <w:bCs w:val="false"/>
          <w:color w:val="3c4043"/>
          <w:sz w:val="24"/>
          <w:szCs w:val="24"/>
        </w:rPr>
        <w:t xml:space="preserve"/>
      </w:r>
    </w:p>
    <w:p>
      <w:pPr>
        <w:spacing w:after="100" w:line="360" w:lineRule="auto"/>
      </w:pPr>
      <w:r>
        <w:rPr>
          <w:rFonts w:ascii="Google Sans" w:cs="Google Sans" w:eastAsia="Google Sans" w:hAnsi="Google Sans"/>
          <w:b/>
          <w:bCs/>
          <w:color w:val="3c4043"/>
          <w:sz w:val="24"/>
          <w:szCs w:val="24"/>
        </w:rPr>
        <w:t xml:space="preserve">3. Was there a specific tool or concept that you enjoyed the most? Why?</w:t>
      </w:r>
    </w:p>
    <w:p>
      <w:pPr>
        <w:spacing w:after="100" w:line="360" w:lineRule="auto"/>
      </w:pPr>
      <w:r>
        <w:rPr>
          <w:rFonts w:ascii="Google Sans" w:cs="Google Sans" w:eastAsia="Google Sans" w:hAnsi="Google Sans"/>
          <w:b w:val="false"/>
          <w:bCs w:val="false"/>
          <w:color w:val="3c4043"/>
          <w:sz w:val="24"/>
          <w:szCs w:val="24"/>
        </w:rPr>
        <w:t xml:space="preserve">VirusTotal stood out as particularly powerful because it aggregates threat intelligence from dozens of antivirus engines and community reports in one place. Being able to submit a file hash and immediately see cross-vendor verdicts, related malware families, and behavioral indicators made the concept of IoCs very concrete. It is a tool I can see myself using regularly as a security analyst.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w:cs="Google Sans" w:eastAsia="Google Sans" w:hAnsi="Google San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2026-03-28T13:46:50.696Z</dcterms:created>
  <dcterms:modified xsi:type="dcterms:W3CDTF">2026-03-28T13:46:50.696Z</dcterms:modified>
</cp:coreProperties>
</file>

<file path=docProps/custom.xml><?xml version="1.0" encoding="utf-8"?>
<Properties xmlns="http://schemas.openxmlformats.org/officeDocument/2006/custom-properties" xmlns:vt="http://schemas.openxmlformats.org/officeDocument/2006/docPropsVTypes"/>
</file>