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sz w:val="32"/>
          <w:szCs w:val="32"/>
        </w:rPr>
        <w:t xml:space="preserve">Incident Report Analysis</w:t>
      </w:r>
    </w:p>
    <w:p>
      <w:r>
        <w:rPr>
          <w:rFonts w:ascii="Arial" w:cs="Arial" w:eastAsia="Arial" w:hAnsi="Arial"/>
          <w:color w:val="555555"/>
          <w:sz w:val="22"/>
          <w:szCs w:val="22"/>
        </w:rPr>
        <w:t xml:space="preserve">NIST Cybersecurity Framework — DoS/ICMP Flood Attack</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6800"/>
      </w:tblGrid>
      <w:tr>
        <w:tc>
          <w:tcPr>
            <w:tcW w:type="dxa" w:w="9360"/>
            <w:gridSpan w:val="2"/>
            <w:tcBorders>
              <w:top w:val="single" w:color="AAAAAA" w:sz="1"/>
              <w:left w:val="single" w:color="AAAAAA" w:sz="1"/>
              <w:bottom w:val="single" w:color="AAAAAA" w:sz="1"/>
              <w:right w:val="single" w:color="AAAAAA" w:sz="1"/>
            </w:tcBorders>
            <w:shd w:fill="1F3864" w:val="clear"/>
            <w:tcMar>
              <w:top w:type="dxa" w:w="120"/>
              <w:left w:type="dxa" w:w="160"/>
              <w:bottom w:type="dxa" w:w="120"/>
              <w:right w:type="dxa" w:w="160"/>
            </w:tcMar>
          </w:tcPr>
          <w:p>
            <w:r>
              <w:rPr>
                <w:rFonts w:ascii="Arial" w:cs="Arial" w:eastAsia="Arial" w:hAnsi="Arial"/>
                <w:b/>
                <w:bCs/>
                <w:color w:val="FFFFFF"/>
                <w:sz w:val="24"/>
                <w:szCs w:val="24"/>
              </w:rPr>
              <w:t xml:space="preserve">Summary</w:t>
            </w:r>
          </w:p>
        </w:tc>
      </w:tr>
      <w:tr>
        <w:tc>
          <w:tcPr>
            <w:tcW w:type="dxa" w:w="9360"/>
            <w:gridSpan w:val="2"/>
            <w:tcBorders>
              <w:top w:val="single" w:color="AAAAAA" w:sz="1"/>
              <w:left w:val="single" w:color="AAAAAA" w:sz="1"/>
              <w:bottom w:val="single" w:color="AAAAAA" w:sz="1"/>
              <w:right w:val="single" w:color="AAAAAA" w:sz="1"/>
            </w:tcBorders>
            <w:tcMar>
              <w:top w:type="dxa" w:w="140"/>
              <w:left w:type="dxa" w:w="160"/>
              <w:bottom w:type="dxa" w:w="140"/>
              <w:right w:type="dxa" w:w="160"/>
            </w:tcMar>
          </w:tcPr>
          <w:p>
            <w:r>
              <w:rPr>
                <w:rFonts w:ascii="Arial" w:cs="Arial" w:eastAsia="Arial" w:hAnsi="Arial"/>
                <w:sz w:val="22"/>
                <w:szCs w:val="22"/>
              </w:rPr>
              <w:t xml:space="preserve">A multimedia company was hit by a DoS attack. A hacker sent a large flood of ICMP packets through an unconfigured firewall. This caused the internal network to stop working for two hours. The team responded by blocking ICMP traffic, shutting down non-critical services, and restoring critical ones. After the attack, the company added a firewall rule, IP verification, network monitoring, and an IDS/IPS system.</w:t>
            </w:r>
          </w:p>
        </w:tc>
      </w:tr>
      <w:tr>
        <w:tc>
          <w:tcPr>
            <w:tcW w:type="dxa" w:w="2560"/>
            <w:tcBorders>
              <w:top w:val="single" w:color="AAAAAA" w:sz="1"/>
              <w:left w:val="single" w:color="AAAAAA" w:sz="1"/>
              <w:bottom w:val="single" w:color="AAAAAA" w:sz="1"/>
              <w:right w:val="single" w:color="AAAAAA" w:sz="1"/>
            </w:tcBorders>
            <w:shd w:fill="1F3864" w:val="clear"/>
            <w:tcMar>
              <w:top w:type="dxa" w:w="120"/>
              <w:left w:type="dxa" w:w="160"/>
              <w:bottom w:type="dxa" w:w="120"/>
              <w:right w:type="dxa" w:w="160"/>
            </w:tcMar>
            <w:vAlign w:val="top"/>
          </w:tcPr>
          <w:p>
            <w:r>
              <w:rPr>
                <w:rFonts w:ascii="Arial" w:cs="Arial" w:eastAsia="Arial" w:hAnsi="Arial"/>
                <w:b/>
                <w:bCs/>
                <w:color w:val="FFFFFF"/>
                <w:sz w:val="22"/>
                <w:szCs w:val="22"/>
              </w:rPr>
              <w:t xml:space="preserve">Identify</w:t>
            </w:r>
          </w:p>
        </w:tc>
        <w:tc>
          <w:tcPr>
            <w:tcW w:type="dxa" w:w="6800"/>
            <w:tcBorders>
              <w:top w:val="single" w:color="AAAAAA" w:sz="1"/>
              <w:left w:val="single" w:color="AAAAAA" w:sz="1"/>
              <w:bottom w:val="single" w:color="AAAAAA" w:sz="1"/>
              <w:right w:val="single" w:color="AAAAAA" w:sz="1"/>
            </w:tcBorders>
            <w:tcMar>
              <w:top w:type="dxa" w:w="140"/>
              <w:left w:type="dxa" w:w="160"/>
              <w:bottom w:type="dxa" w:w="140"/>
              <w:right w:type="dxa" w:w="160"/>
            </w:tcMar>
          </w:tcPr>
          <w:p>
            <w:r>
              <w:rPr>
                <w:rFonts w:ascii="Arial" w:cs="Arial" w:eastAsia="Arial" w:hAnsi="Arial"/>
                <w:sz w:val="22"/>
                <w:szCs w:val="22"/>
              </w:rPr>
              <w:t xml:space="preserve">The attack targeted the company's internal network. The main weakness was an unconfigured firewall that allowed ICMP traffic from any source. All network services went down during the attack. The attack type was an ICMP flood DoS attack.</w:t>
            </w:r>
          </w:p>
        </w:tc>
      </w:tr>
      <w:tr>
        <w:tc>
          <w:tcPr>
            <w:tcW w:type="dxa" w:w="2560"/>
            <w:tcBorders>
              <w:top w:val="single" w:color="AAAAAA" w:sz="1"/>
              <w:left w:val="single" w:color="AAAAAA" w:sz="1"/>
              <w:bottom w:val="single" w:color="AAAAAA" w:sz="1"/>
              <w:right w:val="single" w:color="AAAAAA" w:sz="1"/>
            </w:tcBorders>
            <w:shd w:fill="1F3864" w:val="clear"/>
            <w:tcMar>
              <w:top w:type="dxa" w:w="120"/>
              <w:left w:type="dxa" w:w="160"/>
              <w:bottom w:type="dxa" w:w="120"/>
              <w:right w:type="dxa" w:w="160"/>
            </w:tcMar>
            <w:vAlign w:val="top"/>
          </w:tcPr>
          <w:p>
            <w:r>
              <w:rPr>
                <w:rFonts w:ascii="Arial" w:cs="Arial" w:eastAsia="Arial" w:hAnsi="Arial"/>
                <w:b/>
                <w:bCs/>
                <w:color w:val="FFFFFF"/>
                <w:sz w:val="22"/>
                <w:szCs w:val="22"/>
              </w:rPr>
              <w:t xml:space="preserve">Protect</w:t>
            </w:r>
          </w:p>
        </w:tc>
        <w:tc>
          <w:tcPr>
            <w:tcW w:type="dxa" w:w="6800"/>
            <w:tcBorders>
              <w:top w:val="single" w:color="AAAAAA" w:sz="1"/>
              <w:left w:val="single" w:color="AAAAAA" w:sz="1"/>
              <w:bottom w:val="single" w:color="AAAAAA" w:sz="1"/>
              <w:right w:val="single" w:color="AAAAAA" w:sz="1"/>
            </w:tcBorders>
            <w:tcMar>
              <w:top w:type="dxa" w:w="140"/>
              <w:left w:type="dxa" w:w="160"/>
              <w:bottom w:type="dxa" w:w="140"/>
              <w:right w:type="dxa" w:w="160"/>
            </w:tcMar>
          </w:tcPr>
          <w:p>
            <w:r>
              <w:rPr>
                <w:rFonts w:ascii="Arial" w:cs="Arial" w:eastAsia="Arial" w:hAnsi="Arial"/>
                <w:sz w:val="22"/>
                <w:szCs w:val="22"/>
              </w:rPr>
              <w:t xml:space="preserve">To prevent future attacks, the team: (1) Added a firewall rule to limit incoming ICMP packets. (2) Enabled source IP verification to block spoofed addresses. (3) Trained staff on proper firewall configuration. (4) Deployed an IDS/IPS system to filter suspicious traffic.</w:t>
            </w:r>
          </w:p>
        </w:tc>
      </w:tr>
      <w:tr>
        <w:tc>
          <w:tcPr>
            <w:tcW w:type="dxa" w:w="2560"/>
            <w:tcBorders>
              <w:top w:val="single" w:color="AAAAAA" w:sz="1"/>
              <w:left w:val="single" w:color="AAAAAA" w:sz="1"/>
              <w:bottom w:val="single" w:color="AAAAAA" w:sz="1"/>
              <w:right w:val="single" w:color="AAAAAA" w:sz="1"/>
            </w:tcBorders>
            <w:shd w:fill="1F3864" w:val="clear"/>
            <w:tcMar>
              <w:top w:type="dxa" w:w="120"/>
              <w:left w:type="dxa" w:w="160"/>
              <w:bottom w:type="dxa" w:w="120"/>
              <w:right w:type="dxa" w:w="160"/>
            </w:tcMar>
            <w:vAlign w:val="top"/>
          </w:tcPr>
          <w:p>
            <w:r>
              <w:rPr>
                <w:rFonts w:ascii="Arial" w:cs="Arial" w:eastAsia="Arial" w:hAnsi="Arial"/>
                <w:b/>
                <w:bCs/>
                <w:color w:val="FFFFFF"/>
                <w:sz w:val="22"/>
                <w:szCs w:val="22"/>
              </w:rPr>
              <w:t xml:space="preserve">Detect</w:t>
            </w:r>
          </w:p>
        </w:tc>
        <w:tc>
          <w:tcPr>
            <w:tcW w:type="dxa" w:w="6800"/>
            <w:tcBorders>
              <w:top w:val="single" w:color="AAAAAA" w:sz="1"/>
              <w:left w:val="single" w:color="AAAAAA" w:sz="1"/>
              <w:bottom w:val="single" w:color="AAAAAA" w:sz="1"/>
              <w:right w:val="single" w:color="AAAAAA" w:sz="1"/>
            </w:tcBorders>
            <w:tcMar>
              <w:top w:type="dxa" w:w="140"/>
              <w:left w:type="dxa" w:w="160"/>
              <w:bottom w:type="dxa" w:w="140"/>
              <w:right w:type="dxa" w:w="160"/>
            </w:tcMar>
          </w:tcPr>
          <w:p>
            <w:r>
              <w:rPr>
                <w:rFonts w:ascii="Arial" w:cs="Arial" w:eastAsia="Arial" w:hAnsi="Arial"/>
                <w:sz w:val="22"/>
                <w:szCs w:val="22"/>
              </w:rPr>
              <w:t xml:space="preserve">To catch similar attacks earlier, the team: (1) Installed network monitoring software to track unusual traffic. (2) Set up an IDS to alert staff when suspicious packets are detected. (3) Enabled firewall logging to record all traffic. (4) Connected alerts to a SIEM tool for real-time visibility.</w:t>
            </w:r>
          </w:p>
        </w:tc>
      </w:tr>
      <w:tr>
        <w:tc>
          <w:tcPr>
            <w:tcW w:type="dxa" w:w="2560"/>
            <w:tcBorders>
              <w:top w:val="single" w:color="AAAAAA" w:sz="1"/>
              <w:left w:val="single" w:color="AAAAAA" w:sz="1"/>
              <w:bottom w:val="single" w:color="AAAAAA" w:sz="1"/>
              <w:right w:val="single" w:color="AAAAAA" w:sz="1"/>
            </w:tcBorders>
            <w:shd w:fill="1F3864" w:val="clear"/>
            <w:tcMar>
              <w:top w:type="dxa" w:w="120"/>
              <w:left w:type="dxa" w:w="160"/>
              <w:bottom w:type="dxa" w:w="120"/>
              <w:right w:type="dxa" w:w="160"/>
            </w:tcMar>
            <w:vAlign w:val="top"/>
          </w:tcPr>
          <w:p>
            <w:r>
              <w:rPr>
                <w:rFonts w:ascii="Arial" w:cs="Arial" w:eastAsia="Arial" w:hAnsi="Arial"/>
                <w:b/>
                <w:bCs/>
                <w:color w:val="FFFFFF"/>
                <w:sz w:val="22"/>
                <w:szCs w:val="22"/>
              </w:rPr>
              <w:t xml:space="preserve">Respond</w:t>
            </w:r>
          </w:p>
        </w:tc>
        <w:tc>
          <w:tcPr>
            <w:tcW w:type="dxa" w:w="6800"/>
            <w:tcBorders>
              <w:top w:val="single" w:color="AAAAAA" w:sz="1"/>
              <w:left w:val="single" w:color="AAAAAA" w:sz="1"/>
              <w:bottom w:val="single" w:color="AAAAAA" w:sz="1"/>
              <w:right w:val="single" w:color="AAAAAA" w:sz="1"/>
            </w:tcBorders>
            <w:tcMar>
              <w:top w:type="dxa" w:w="140"/>
              <w:left w:type="dxa" w:w="160"/>
              <w:bottom w:type="dxa" w:w="140"/>
              <w:right w:type="dxa" w:w="160"/>
            </w:tcMar>
          </w:tcPr>
          <w:p>
            <w:r>
              <w:rPr>
                <w:rFonts w:ascii="Arial" w:cs="Arial" w:eastAsia="Arial" w:hAnsi="Arial"/>
                <w:sz w:val="22"/>
                <w:szCs w:val="22"/>
              </w:rPr>
              <w:t xml:space="preserve">During the attack, the team: (1) Blocked all incoming ICMP packets immediately. (2) Took non-critical services offline. (3) Restored critical services first. (4) Reported the incident to management. For future incidents, the team will create a clear response plan with defined roles and communication steps.</w:t>
            </w:r>
          </w:p>
        </w:tc>
      </w:tr>
      <w:tr>
        <w:tc>
          <w:tcPr>
            <w:tcW w:type="dxa" w:w="2560"/>
            <w:tcBorders>
              <w:top w:val="single" w:color="AAAAAA" w:sz="1"/>
              <w:left w:val="single" w:color="AAAAAA" w:sz="1"/>
              <w:bottom w:val="single" w:color="AAAAAA" w:sz="1"/>
              <w:right w:val="single" w:color="AAAAAA" w:sz="1"/>
            </w:tcBorders>
            <w:shd w:fill="1F3864" w:val="clear"/>
            <w:tcMar>
              <w:top w:type="dxa" w:w="120"/>
              <w:left w:type="dxa" w:w="160"/>
              <w:bottom w:type="dxa" w:w="120"/>
              <w:right w:type="dxa" w:w="160"/>
            </w:tcMar>
            <w:vAlign w:val="top"/>
          </w:tcPr>
          <w:p>
            <w:r>
              <w:rPr>
                <w:rFonts w:ascii="Arial" w:cs="Arial" w:eastAsia="Arial" w:hAnsi="Arial"/>
                <w:b/>
                <w:bCs/>
                <w:color w:val="FFFFFF"/>
                <w:sz w:val="22"/>
                <w:szCs w:val="22"/>
              </w:rPr>
              <w:t xml:space="preserve">Recover</w:t>
            </w:r>
          </w:p>
        </w:tc>
        <w:tc>
          <w:tcPr>
            <w:tcW w:type="dxa" w:w="6800"/>
            <w:tcBorders>
              <w:top w:val="single" w:color="AAAAAA" w:sz="1"/>
              <w:left w:val="single" w:color="AAAAAA" w:sz="1"/>
              <w:bottom w:val="single" w:color="AAAAAA" w:sz="1"/>
              <w:right w:val="single" w:color="AAAAAA" w:sz="1"/>
            </w:tcBorders>
            <w:tcMar>
              <w:top w:type="dxa" w:w="140"/>
              <w:left w:type="dxa" w:w="160"/>
              <w:bottom w:type="dxa" w:w="140"/>
              <w:right w:type="dxa" w:w="160"/>
            </w:tcMar>
          </w:tcPr>
          <w:p>
            <w:r>
              <w:rPr>
                <w:rFonts w:ascii="Arial" w:cs="Arial" w:eastAsia="Arial" w:hAnsi="Arial"/>
                <w:sz w:val="22"/>
                <w:szCs w:val="22"/>
              </w:rPr>
              <w:t xml:space="preserve">After the attack, the team: (1) Brought services back online in order of priority. (2) Reconfigured the firewall before restoring any services. (3) Checked logs to confirm no data was lost. (4) Held a post-incident review to update security policies. Going forward, firewall configurations will be backed up regularly.</w:t>
            </w:r>
          </w:p>
        </w:tc>
      </w:tr>
      <w:tr>
        <w:tc>
          <w:tcPr>
            <w:tcW w:type="dxa" w:w="9360"/>
            <w:gridSpan w:val="2"/>
            <w:tcBorders>
              <w:top w:val="single" w:color="AAAAAA" w:sz="1"/>
              <w:left w:val="single" w:color="AAAAAA" w:sz="1"/>
              <w:bottom w:val="single" w:color="AAAAAA" w:sz="1"/>
              <w:right w:val="single" w:color="AAAAAA" w:sz="1"/>
            </w:tcBorders>
            <w:shd w:fill="F2F2F2" w:val="clear"/>
            <w:tcMar>
              <w:top w:type="dxa" w:w="120"/>
              <w:left w:type="dxa" w:w="160"/>
              <w:bottom w:type="dxa" w:w="120"/>
              <w:right w:type="dxa" w:w="160"/>
            </w:tcMar>
          </w:tcPr>
          <w:p>
            <w:r>
              <w:rPr>
                <w:rFonts w:ascii="Arial" w:cs="Arial" w:eastAsia="Arial" w:hAnsi="Arial"/>
                <w:b w:val="false"/>
                <w:bCs w:val="false"/>
                <w:color w:val="000000"/>
                <w:sz w:val="22"/>
                <w:szCs w:val="22"/>
              </w:rPr>
              <w:t xml:space="preserve">Reflections / Notes</w:t>
            </w:r>
          </w:p>
        </w:tc>
      </w:tr>
      <w:tr>
        <w:tc>
          <w:tcPr>
            <w:tcW w:type="dxa" w:w="9360"/>
            <w:gridSpan w:val="2"/>
            <w:tcBorders>
              <w:top w:val="single" w:color="AAAAAA" w:sz="1"/>
              <w:left w:val="single" w:color="AAAAAA" w:sz="1"/>
              <w:bottom w:val="single" w:color="AAAAAA" w:sz="1"/>
              <w:right w:val="single" w:color="AAAAAA" w:sz="1"/>
            </w:tcBorders>
            <w:tcMar>
              <w:top w:type="dxa" w:w="140"/>
              <w:left w:type="dxa" w:w="160"/>
              <w:bottom w:type="dxa" w:w="140"/>
              <w:right w:type="dxa" w:w="160"/>
            </w:tcMar>
          </w:tcPr>
          <w:p>
            <w:r>
              <w:rPr>
                <w:rFonts w:ascii="Arial" w:cs="Arial" w:eastAsia="Arial" w:hAnsi="Arial"/>
                <w:sz w:val="22"/>
                <w:szCs w:val="22"/>
              </w:rPr>
              <w:t xml:space="preserve">This incident showed how a simple firewall misconfiguration can take down an entire network. Key lesson: always configure and test firewall rules. Regular audits and monitoring tools like IDS and SIEM are essential to catch and respond to attacks quickly.</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2026-03-20T02:15:17.131Z</dcterms:created>
  <dcterms:modified xsi:type="dcterms:W3CDTF">2026-03-20T02:15:17.132Z</dcterms:modified>
</cp:coreProperties>
</file>

<file path=docProps/custom.xml><?xml version="1.0" encoding="utf-8"?>
<Properties xmlns="http://schemas.openxmlformats.org/officeDocument/2006/custom-properties" xmlns:vt="http://schemas.openxmlformats.org/officeDocument/2006/docPropsVTypes"/>
</file>