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sz w:val="32"/>
          <w:szCs w:val="32"/>
        </w:rPr>
        <w:t xml:space="preserve">Incident Report Analysis</w:t>
      </w:r>
    </w:p>
    <w:p>
      <w:r>
        <w:rPr>
          <w:rFonts w:ascii="Arial" w:cs="Arial" w:eastAsia="Arial" w:hAnsi="Arial"/>
          <w:color w:val="555555"/>
          <w:sz w:val="22"/>
          <w:szCs w:val="22"/>
        </w:rPr>
        <w:t xml:space="preserve">Portfolio Activity — Use the NIST Cybersecurity Framework to Respond to a Security Incident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9360"/>
            <w:gridSpan w:val="2"/>
            <w:tcBorders>
              <w:top w:val="single" w:color="AAAAAA" w:sz="1"/>
              <w:left w:val="single" w:color="AAAAAA" w:sz="1"/>
              <w:bottom w:val="single" w:color="AAAAAA" w:sz="1"/>
              <w:right w:val="single" w:color="AAAAAA" w:sz="1"/>
            </w:tcBorders>
            <w:shd w:fill="1F3864" w:val="clear"/>
            <w:tcMar>
              <w:top w:type="dxa" w:w="120"/>
              <w:left w:type="dxa" w:w="160"/>
              <w:bottom w:type="dxa" w:w="120"/>
              <w:right w:type="dxa" w:w="160"/>
            </w:tcMar>
          </w:tcPr>
          <w:p>
            <w:r>
              <w:rPr>
                <w:rFonts w:ascii="Arial" w:cs="Arial" w:eastAsia="Arial" w:hAnsi="Arial"/>
                <w:b/>
                <w:bCs/>
                <w:color w:val="FFFFFF"/>
                <w:sz w:val="24"/>
                <w:szCs w:val="24"/>
              </w:rPr>
              <w:t xml:space="preserve">Summary</w:t>
            </w:r>
          </w:p>
        </w:tc>
      </w:tr>
      <w:tr>
        <w:tc>
          <w:tcPr>
            <w:tcW w:type="dxa" w:w="9360"/>
            <w:gridSpan w:val="2"/>
            <w:tcBorders>
              <w:top w:val="single" w:color="AAAAAA" w:sz="1"/>
              <w:left w:val="single" w:color="AAAAAA" w:sz="1"/>
              <w:bottom w:val="single" w:color="AAAAAA" w:sz="1"/>
              <w:right w:val="single" w:color="AAAAAA" w:sz="1"/>
            </w:tcBorders>
            <w:tcMar>
              <w:top w:type="dxa" w:w="140"/>
              <w:left w:type="dxa" w:w="160"/>
              <w:bottom w:type="dxa" w:w="140"/>
              <w:right w:type="dxa" w:w="160"/>
            </w:tcMar>
          </w:tcPr>
          <w:p>
            <w:r>
              <w:rPr>
                <w:rFonts w:ascii="Arial" w:cs="Arial" w:eastAsia="Arial" w:hAnsi="Arial"/>
                <w:sz w:val="22"/>
                <w:szCs w:val="22"/>
              </w:rPr>
              <w:t xml:space="preserve">A multimedia company offering web design, graphic design, and social media marketing services experienced a Denial of Service (DoS) attack. A malicious actor sent a flood of ICMP packets through an unconfigured firewall, overwhelming the internal network and causing all network services to become unresponsive for approximately two hours. The incident management team responded by blocking incoming ICMP packets, taking non-critical services offline, and restoring critical services. A new firewall rule, source IP verification, network monitoring software, and an IDS/IPS system were subsequently implemented to prevent recurrence.</w:t>
            </w:r>
          </w:p>
        </w:tc>
      </w:tr>
      <w:tr>
        <w:tc>
          <w:tcPr>
            <w:tcW w:type="dxa" w:w="2560"/>
            <w:tcBorders>
              <w:top w:val="single" w:color="AAAAAA" w:sz="1"/>
              <w:left w:val="single" w:color="AAAAAA" w:sz="1"/>
              <w:bottom w:val="single" w:color="AAAAAA" w:sz="1"/>
              <w:right w:val="single" w:color="AAAAAA" w:sz="1"/>
            </w:tcBorders>
            <w:shd w:fill="2E4D7B" w:val="clear"/>
            <w:tcMar>
              <w:top w:type="dxa" w:w="120"/>
              <w:left w:type="dxa" w:w="160"/>
              <w:bottom w:type="dxa" w:w="120"/>
              <w:right w:type="dxa" w:w="160"/>
            </w:tcMar>
            <w:vAlign w:val="top"/>
          </w:tcPr>
          <w:p>
            <w:r>
              <w:rPr>
                <w:rFonts w:ascii="Arial" w:cs="Arial" w:eastAsia="Arial" w:hAnsi="Arial"/>
                <w:b/>
                <w:bCs/>
                <w:color w:val="FFFFFF"/>
                <w:sz w:val="22"/>
                <w:szCs w:val="22"/>
              </w:rPr>
              <w:t xml:space="preserve">Identify</w:t>
            </w:r>
          </w:p>
        </w:tc>
        <w:tc>
          <w:tcPr>
            <w:tcW w:type="dxa" w:w="6800"/>
            <w:tcBorders>
              <w:top w:val="single" w:color="AAAAAA" w:sz="1"/>
              <w:left w:val="single" w:color="AAAAAA" w:sz="1"/>
              <w:bottom w:val="single" w:color="AAAAAA" w:sz="1"/>
              <w:right w:val="single" w:color="AAAAAA" w:sz="1"/>
            </w:tcBorders>
            <w:tcMar>
              <w:top w:type="dxa" w:w="140"/>
              <w:left w:type="dxa" w:w="160"/>
              <w:bottom w:type="dxa" w:w="140"/>
              <w:right w:type="dxa" w:w="160"/>
            </w:tcMar>
          </w:tcPr>
          <w:p>
            <w:r>
              <w:rPr>
                <w:rFonts w:ascii="Arial" w:cs="Arial" w:eastAsia="Arial" w:hAnsi="Arial"/>
                <w:sz w:val="22"/>
                <w:szCs w:val="22"/>
              </w:rPr>
              <w:t xml:space="preserve">The attack targeted the company's internal network infrastructure. The unconfigured firewall was the primary vulnerability exploited, allowing unrestricted ICMP traffic from external sources. All internal systems and network services were affected during the two-hour outage. The attack was classified as an ICMP flood DoS attack. The asset affected was the entire internal network, including all connected devices and services relying on network access.</w:t>
            </w:r>
          </w:p>
        </w:tc>
      </w:tr>
      <w:tr>
        <w:tc>
          <w:tcPr>
            <w:tcW w:type="dxa" w:w="2560"/>
            <w:tcBorders>
              <w:top w:val="single" w:color="AAAAAA" w:sz="1"/>
              <w:left w:val="single" w:color="AAAAAA" w:sz="1"/>
              <w:bottom w:val="single" w:color="AAAAAA" w:sz="1"/>
              <w:right w:val="single" w:color="AAAAAA" w:sz="1"/>
            </w:tcBorders>
            <w:shd w:fill="2E4D7B" w:val="clear"/>
            <w:tcMar>
              <w:top w:type="dxa" w:w="120"/>
              <w:left w:type="dxa" w:w="160"/>
              <w:bottom w:type="dxa" w:w="120"/>
              <w:right w:type="dxa" w:w="160"/>
            </w:tcMar>
            <w:vAlign w:val="top"/>
          </w:tcPr>
          <w:p>
            <w:r>
              <w:rPr>
                <w:rFonts w:ascii="Arial" w:cs="Arial" w:eastAsia="Arial" w:hAnsi="Arial"/>
                <w:b/>
                <w:bCs/>
                <w:color w:val="FFFFFF"/>
                <w:sz w:val="22"/>
                <w:szCs w:val="22"/>
              </w:rPr>
              <w:t xml:space="preserve">Protect</w:t>
            </w:r>
          </w:p>
        </w:tc>
        <w:tc>
          <w:tcPr>
            <w:tcW w:type="dxa" w:w="6800"/>
            <w:tcBorders>
              <w:top w:val="single" w:color="AAAAAA" w:sz="1"/>
              <w:left w:val="single" w:color="AAAAAA" w:sz="1"/>
              <w:bottom w:val="single" w:color="AAAAAA" w:sz="1"/>
              <w:right w:val="single" w:color="AAAAAA" w:sz="1"/>
            </w:tcBorders>
            <w:tcMar>
              <w:top w:type="dxa" w:w="140"/>
              <w:left w:type="dxa" w:w="160"/>
              <w:bottom w:type="dxa" w:w="140"/>
              <w:right w:type="dxa" w:w="160"/>
            </w:tcMar>
          </w:tcPr>
          <w:p>
            <w:r>
              <w:rPr>
                <w:rFonts w:ascii="Arial" w:cs="Arial" w:eastAsia="Arial" w:hAnsi="Arial"/>
                <w:sz w:val="22"/>
                <w:szCs w:val="22"/>
              </w:rPr>
              <w:t xml:space="preserve">To protect the organisation's assets from future ICMP flood attacks, the following measures were implemented: (1) A new firewall rule was configured to limit the rate of incoming ICMP packets, preventing future flooding; (2) Source IP address verification was enabled on the firewall to detect and block spoofed IP addresses; (3) All staff responsible for network administration received updated training on firewall configuration and the risks of misconfigured network perimeter controls; (4) An IDS/IPS system was deployed to filter suspicious ICMP traffic based on known attack patterns.</w:t>
            </w:r>
          </w:p>
        </w:tc>
      </w:tr>
      <w:tr>
        <w:tc>
          <w:tcPr>
            <w:tcW w:type="dxa" w:w="2560"/>
            <w:tcBorders>
              <w:top w:val="single" w:color="AAAAAA" w:sz="1"/>
              <w:left w:val="single" w:color="AAAAAA" w:sz="1"/>
              <w:bottom w:val="single" w:color="AAAAAA" w:sz="1"/>
              <w:right w:val="single" w:color="AAAAAA" w:sz="1"/>
            </w:tcBorders>
            <w:shd w:fill="2E4D7B" w:val="clear"/>
            <w:tcMar>
              <w:top w:type="dxa" w:w="120"/>
              <w:left w:type="dxa" w:w="160"/>
              <w:bottom w:type="dxa" w:w="120"/>
              <w:right w:type="dxa" w:w="160"/>
            </w:tcMar>
            <w:vAlign w:val="top"/>
          </w:tcPr>
          <w:p>
            <w:r>
              <w:rPr>
                <w:rFonts w:ascii="Arial" w:cs="Arial" w:eastAsia="Arial" w:hAnsi="Arial"/>
                <w:b/>
                <w:bCs/>
                <w:color w:val="FFFFFF"/>
                <w:sz w:val="22"/>
                <w:szCs w:val="22"/>
              </w:rPr>
              <w:t xml:space="preserve">Detect</w:t>
            </w:r>
          </w:p>
        </w:tc>
        <w:tc>
          <w:tcPr>
            <w:tcW w:type="dxa" w:w="6800"/>
            <w:tcBorders>
              <w:top w:val="single" w:color="AAAAAA" w:sz="1"/>
              <w:left w:val="single" w:color="AAAAAA" w:sz="1"/>
              <w:bottom w:val="single" w:color="AAAAAA" w:sz="1"/>
              <w:right w:val="single" w:color="AAAAAA" w:sz="1"/>
            </w:tcBorders>
            <w:tcMar>
              <w:top w:type="dxa" w:w="140"/>
              <w:left w:type="dxa" w:w="160"/>
              <w:bottom w:type="dxa" w:w="140"/>
              <w:right w:type="dxa" w:w="160"/>
            </w:tcMar>
          </w:tcPr>
          <w:p>
            <w:r>
              <w:rPr>
                <w:rFonts w:ascii="Arial" w:cs="Arial" w:eastAsia="Arial" w:hAnsi="Arial"/>
                <w:sz w:val="22"/>
                <w:szCs w:val="22"/>
              </w:rPr>
              <w:t xml:space="preserve">To detect similar incidents in the future, the organisation implemented: (1) Network monitoring software to continuously analyse traffic patterns and flag abnormal spikes in ICMP traffic or other unusual activity; (2) An IDS/IPS system to inspect incoming packets and alert the security team when suspicious traffic characteristics are identified; (3) Firewall logging to record all incoming and outgoing traffic, enabling forensic analysis after an incident; (4) SIEM integration to correlate alerts and provide real-time visibility into potential security events across the network.</w:t>
            </w:r>
          </w:p>
        </w:tc>
      </w:tr>
      <w:tr>
        <w:tc>
          <w:tcPr>
            <w:tcW w:type="dxa" w:w="2560"/>
            <w:tcBorders>
              <w:top w:val="single" w:color="AAAAAA" w:sz="1"/>
              <w:left w:val="single" w:color="AAAAAA" w:sz="1"/>
              <w:bottom w:val="single" w:color="AAAAAA" w:sz="1"/>
              <w:right w:val="single" w:color="AAAAAA" w:sz="1"/>
            </w:tcBorders>
            <w:shd w:fill="2E4D7B" w:val="clear"/>
            <w:tcMar>
              <w:top w:type="dxa" w:w="120"/>
              <w:left w:type="dxa" w:w="160"/>
              <w:bottom w:type="dxa" w:w="120"/>
              <w:right w:type="dxa" w:w="160"/>
            </w:tcMar>
            <w:vAlign w:val="top"/>
          </w:tcPr>
          <w:p>
            <w:r>
              <w:rPr>
                <w:rFonts w:ascii="Arial" w:cs="Arial" w:eastAsia="Arial" w:hAnsi="Arial"/>
                <w:b/>
                <w:bCs/>
                <w:color w:val="FFFFFF"/>
                <w:sz w:val="22"/>
                <w:szCs w:val="22"/>
              </w:rPr>
              <w:t xml:space="preserve">Respond</w:t>
            </w:r>
          </w:p>
        </w:tc>
        <w:tc>
          <w:tcPr>
            <w:tcW w:type="dxa" w:w="6800"/>
            <w:tcBorders>
              <w:top w:val="single" w:color="AAAAAA" w:sz="1"/>
              <w:left w:val="single" w:color="AAAAAA" w:sz="1"/>
              <w:bottom w:val="single" w:color="AAAAAA" w:sz="1"/>
              <w:right w:val="single" w:color="AAAAAA" w:sz="1"/>
            </w:tcBorders>
            <w:tcMar>
              <w:top w:type="dxa" w:w="140"/>
              <w:left w:type="dxa" w:w="160"/>
              <w:bottom w:type="dxa" w:w="140"/>
              <w:right w:type="dxa" w:w="160"/>
            </w:tcMar>
          </w:tcPr>
          <w:p>
            <w:r>
              <w:rPr>
                <w:rFonts w:ascii="Arial" w:cs="Arial" w:eastAsia="Arial" w:hAnsi="Arial"/>
                <w:sz w:val="22"/>
                <w:szCs w:val="22"/>
              </w:rPr>
              <w:t xml:space="preserve">During the incident, the team took the following response actions: (1) Incoming ICMP packets were immediately blocked at the firewall to stop the flood; (2) All non-critical network services were taken offline to reduce the attack surface and preserve bandwidth for critical systems; (3) Critical network services were restored in priority order to minimise business disruption; (4) The incident was documented and reported to management. For future incidents, a formal incident response plan will be established that includes communication procedures, escalation paths, and defined roles for the response team.</w:t>
            </w:r>
          </w:p>
        </w:tc>
      </w:tr>
      <w:tr>
        <w:tc>
          <w:tcPr>
            <w:tcW w:type="dxa" w:w="2560"/>
            <w:tcBorders>
              <w:top w:val="single" w:color="AAAAAA" w:sz="1"/>
              <w:left w:val="single" w:color="AAAAAA" w:sz="1"/>
              <w:bottom w:val="single" w:color="AAAAAA" w:sz="1"/>
              <w:right w:val="single" w:color="AAAAAA" w:sz="1"/>
            </w:tcBorders>
            <w:shd w:fill="2E4D7B" w:val="clear"/>
            <w:tcMar>
              <w:top w:type="dxa" w:w="120"/>
              <w:left w:type="dxa" w:w="160"/>
              <w:bottom w:type="dxa" w:w="120"/>
              <w:right w:type="dxa" w:w="160"/>
            </w:tcMar>
            <w:vAlign w:val="top"/>
          </w:tcPr>
          <w:p>
            <w:r>
              <w:rPr>
                <w:rFonts w:ascii="Arial" w:cs="Arial" w:eastAsia="Arial" w:hAnsi="Arial"/>
                <w:b/>
                <w:bCs/>
                <w:color w:val="FFFFFF"/>
                <w:sz w:val="22"/>
                <w:szCs w:val="22"/>
              </w:rPr>
              <w:t xml:space="preserve">Recover</w:t>
            </w:r>
          </w:p>
        </w:tc>
        <w:tc>
          <w:tcPr>
            <w:tcW w:type="dxa" w:w="6800"/>
            <w:tcBorders>
              <w:top w:val="single" w:color="AAAAAA" w:sz="1"/>
              <w:left w:val="single" w:color="AAAAAA" w:sz="1"/>
              <w:bottom w:val="single" w:color="AAAAAA" w:sz="1"/>
              <w:right w:val="single" w:color="AAAAAA" w:sz="1"/>
            </w:tcBorders>
            <w:tcMar>
              <w:top w:type="dxa" w:w="140"/>
              <w:left w:type="dxa" w:w="160"/>
              <w:bottom w:type="dxa" w:w="140"/>
              <w:right w:type="dxa" w:w="160"/>
            </w:tcMar>
          </w:tcPr>
          <w:p>
            <w:r>
              <w:rPr>
                <w:rFonts w:ascii="Arial" w:cs="Arial" w:eastAsia="Arial" w:hAnsi="Arial"/>
                <w:sz w:val="22"/>
                <w:szCs w:val="22"/>
              </w:rPr>
              <w:t xml:space="preserve">Recovery steps taken after the incident: (1) All network services were brought back online in a controlled sequence, starting with the most critical systems; (2) The firewall was fully reconfigured with appropriate rules before any services were restored to prevent re-exploitation; (3) System logs were reviewed to confirm no data was lost or compromised during the attack; (4) A post-incident review was conducted to identify lessons learned and update the organisation's security policies. Future recovery processes will include regular backups of firewall configurations and documented runbooks to speed up restoration time.</w:t>
            </w:r>
          </w:p>
        </w:tc>
      </w:tr>
      <w:tr>
        <w:tc>
          <w:tcPr>
            <w:tcW w:type="dxa" w:w="9360"/>
            <w:gridSpan w:val="2"/>
            <w:tcBorders>
              <w:top w:val="single" w:color="AAAAAA" w:sz="1"/>
              <w:left w:val="single" w:color="AAAAAA" w:sz="1"/>
              <w:bottom w:val="single" w:color="AAAAAA" w:sz="1"/>
              <w:right w:val="single" w:color="AAAAAA" w:sz="1"/>
            </w:tcBorders>
            <w:shd w:fill="F2F2F2" w:val="clear"/>
            <w:tcMar>
              <w:top w:type="dxa" w:w="120"/>
              <w:left w:type="dxa" w:w="160"/>
              <w:bottom w:type="dxa" w:w="120"/>
              <w:right w:type="dxa" w:w="160"/>
            </w:tcMar>
          </w:tcPr>
          <w:p>
            <w:r>
              <w:rPr>
                <w:rFonts w:ascii="Arial" w:cs="Arial" w:eastAsia="Arial" w:hAnsi="Arial"/>
                <w:b/>
                <w:bCs/>
                <w:sz w:val="22"/>
                <w:szCs w:val="22"/>
              </w:rPr>
              <w:t xml:space="preserve">Reflections / Notes</w:t>
            </w:r>
          </w:p>
          <w:p>
            <w:r>
              <w:rPr>
                <w:rFonts w:ascii="Arial" w:cs="Arial" w:eastAsia="Arial" w:hAnsi="Arial"/>
                <w:sz w:val="22"/>
                <w:szCs w:val="22"/>
              </w:rPr>
              <w:t xml:space="preserve">This incident highlighted the critical importance of proper firewall configuration as a first line of defence. An unconfigured firewall allowed a straightforward ICMP flood to bring down the entire internal network. Implementing rate limiting, source verification, and IDS/IPS monitoring are key takeaways. Regular firewall audits should be scheduled to prevent similar misconfigurations in the future.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2026-03-20T02:07:52.664Z</dcterms:created>
  <dcterms:modified xsi:type="dcterms:W3CDTF">2026-03-20T02:07:52.665Z</dcterms:modified>
</cp:coreProperties>
</file>

<file path=docProps/custom.xml><?xml version="1.0" encoding="utf-8"?>
<Properties xmlns="http://schemas.openxmlformats.org/officeDocument/2006/custom-properties" xmlns:vt="http://schemas.openxmlformats.org/officeDocument/2006/docPropsVTypes"/>
</file>