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before="320" w:line="240" w:lineRule="auto"/>
        <w:rPr>
          <w:rFonts w:ascii="Proxima Nova" w:cs="Proxima Nova" w:eastAsia="Proxima Nova" w:hAnsi="Proxima Nova"/>
          <w:b w:val="1"/>
          <w:color w:val="4a86e8"/>
          <w:sz w:val="58"/>
          <w:szCs w:val="58"/>
        </w:rPr>
      </w:pPr>
      <w:bookmarkStart w:colFirst="0" w:colLast="0" w:name="_5x0d5h95i329" w:id="0"/>
      <w:bookmarkEnd w:id="0"/>
      <w:r>
        <w:rPr>
          <w:rFonts w:ascii="Google Sans" w:cs="Google Sans" w:eastAsia="Google Sans" w:hAnsi="Google Sans"/>
          <w:b w:val="1"/>
          <w:color w:val="4a86e8"/>
          <w:sz w:val="58"/>
          <w:szCs w:val="58"/>
          <w:rtl w:val="0"/>
        </w:rPr>
        <w:t xml:space="preserve">Vulnerability Assessment Report</w:t>
      </w:r>
      <w:r>
        <w:rPr>
          <w:rtl w:val="0"/>
        </w:rPr>
      </w:r>
    </w:p>
    <w:p w:rsidR="00000000" w:rsidDel="00000000" w:rsidP="00000000" w:rsidRDefault="00000000" w:rsidRPr="00000000" w14:paraId="00000002">
      <w:pPr>
        <w:pStyle w:val="Subtitle"/>
        <w:keepNext w:val="0"/>
        <w:keepLines w:val="0"/>
        <w:spacing w:after="0" w:line="240" w:lineRule="auto"/>
        <w:rPr>
          <w:rFonts w:ascii="Google Sans" w:cs="Google Sans" w:eastAsia="Google Sans" w:hAnsi="Google Sans"/>
          <w:b w:val="1"/>
          <w:sz w:val="28"/>
          <w:szCs w:val="28"/>
        </w:rPr>
      </w:pPr>
      <w:bookmarkStart w:colFirst="0" w:colLast="0" w:name="_af80tl7prv5v" w:id="1"/>
      <w:bookmarkEnd w:id="1"/>
      <w:r>
        <w:rPr>
          <w:rFonts w:ascii="Google Sans" w:cs="Google Sans" w:eastAsia="Google Sans" w:hAnsi="Google Sans"/>
          <w:b w:val="1"/>
          <w:sz w:val="28"/>
          <w:szCs w:val="28"/>
          <w:rtl w:val="0"/>
        </w:rPr>
        <w:t xml:space="preserve">1</w:t>
      </w:r>
      <w:r>
        <w:rPr>
          <w:rFonts w:ascii="Google Sans" w:cs="Google Sans" w:eastAsia="Google Sans" w:hAnsi="Google Sans"/>
          <w:b w:val="1"/>
          <w:sz w:val="28"/>
          <w:szCs w:val="28"/>
          <w:vertAlign w:val="superscript"/>
          <w:rtl w:val="0"/>
        </w:rPr>
        <w:t xml:space="preserve">st</w:t>
      </w:r>
      <w:r>
        <w:rPr>
          <w:rFonts w:ascii="Google Sans" w:cs="Google Sans" w:eastAsia="Google Sans" w:hAnsi="Google Sans"/>
          <w:b w:val="1"/>
          <w:sz w:val="28"/>
          <w:szCs w:val="28"/>
          <w:rtl w:val="0"/>
        </w:rPr>
        <w:t xml:space="preserve"> January 20XX</w:t>
      </w:r>
    </w:p>
    <w:p w:rsidR="00000000" w:rsidDel="00000000" w:rsidP="00000000" w:rsidRDefault="00000000" w:rsidRPr="00000000" w14:paraId="00000003">
      <w:pPr>
        <w:pStyle w:val="Subtitle"/>
        <w:keepNext w:val="0"/>
        <w:keepLines w:val="0"/>
        <w:spacing w:after="0" w:line="240" w:lineRule="auto"/>
        <w:rPr>
          <w:rFonts w:ascii="Google Sans" w:cs="Google Sans" w:eastAsia="Google Sans" w:hAnsi="Google Sans"/>
          <w:b w:val="1"/>
          <w:sz w:val="28"/>
          <w:szCs w:val="28"/>
        </w:rPr>
      </w:pPr>
      <w:bookmarkStart w:colFirst="0" w:colLast="0" w:name="_nhcy8rpxthcf" w:id="2"/>
      <w:bookmarkEnd w:id="2"/>
      <w:r>
        <w:pict>
          <v:rect style="width:0.0pt;height:1.5pt" o:hr="t" o:hrstd="t" o:hralign="center" fillcolor="#A0A0A0" stroked="f"/>
        </w:pict>
      </w:r>
      <w:r>
        <w:rPr>
          <w:rtl w:val="0"/>
        </w:rPr>
      </w:r>
    </w:p>
    <w:p w:rsidR="00000000" w:rsidDel="00000000" w:rsidP="00000000" w:rsidRDefault="00000000" w:rsidRPr="00000000" w14:paraId="00000004">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buc6q0k08dmn" w:id="3"/>
      <w:bookmarkEnd w:id="3"/>
      <w:r>
        <w:rPr>
          <w:rFonts w:ascii="Proxima Nova" w:cs="Proxima Nova" w:eastAsia="Proxima Nova" w:hAnsi="Proxima Nova"/>
          <w:b w:val="1"/>
          <w:color w:val="353744"/>
          <w:sz w:val="28"/>
          <w:szCs w:val="28"/>
          <w:rtl w:val="0"/>
        </w:rPr>
        <w:t xml:space="preserve">System Description</w:t>
      </w:r>
    </w:p>
    <w:p w:rsidR="00000000" w:rsidDel="00000000" w:rsidP="00000000" w:rsidRDefault="00000000" w:rsidRPr="00000000" w14:paraId="00000005">
      <w:pPr>
        <w:spacing w:before="200" w:line="312" w:lineRule="auto"/>
        <w:rPr>
          <w:rFonts w:ascii="Google Sans" w:cs="Google Sans" w:eastAsia="Google Sans" w:hAnsi="Google Sans"/>
          <w:color w:val="353744"/>
        </w:rPr>
      </w:pPr>
      <w:r>
        <w:rPr>
          <w:rFonts w:ascii="Google Sans" w:cs="Google Sans" w:eastAsia="Google Sans" w:hAnsi="Google Sans"/>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e64wndl8jmz1" w:id="4"/>
      <w:bookmarkEnd w:id="4"/>
      <w:r>
        <w:rPr>
          <w:rFonts w:ascii="Proxima Nova" w:cs="Proxima Nova" w:eastAsia="Proxima Nova" w:hAnsi="Proxima Nova"/>
          <w:b w:val="1"/>
          <w:color w:val="353744"/>
          <w:sz w:val="28"/>
          <w:szCs w:val="28"/>
          <w:rtl w:val="0"/>
        </w:rPr>
        <w:t xml:space="preserve">Scope</w:t>
      </w:r>
    </w:p>
    <w:p w:rsidR="00000000" w:rsidDel="00000000" w:rsidP="00000000" w:rsidRDefault="00000000" w:rsidRPr="00000000" w14:paraId="00000007">
      <w:pPr>
        <w:spacing w:before="200" w:line="312" w:lineRule="auto"/>
        <w:rPr>
          <w:rFonts w:ascii="Google Sans" w:cs="Google Sans" w:eastAsia="Google Sans" w:hAnsi="Google Sans"/>
          <w:color w:val="353744"/>
        </w:rPr>
      </w:pPr>
      <w:r>
        <w:rPr>
          <w:rFonts w:ascii="Google Sans" w:cs="Google Sans" w:eastAsia="Google Sans" w:hAnsi="Google Sans"/>
          <w:color w:val="353744"/>
          <w:rtl w:val="0"/>
        </w:rPr>
        <w:t xml:space="preserve">The scope of this vulnerability assessment relates to the current access controls of the system. The assessment will cover a period of three months, from June 20XX to August 20XX. </w:t>
      </w:r>
      <w:hyperlink r:id="rId6">
        <w:r>
          <w:rPr>
            <w:rFonts w:ascii="Google Sans" w:cs="Google Sans" w:eastAsia="Google Sans" w:hAnsi="Google Sans"/>
            <w:color w:val="1155cc"/>
            <w:u w:val="single"/>
            <w:rtl w:val="0"/>
          </w:rPr>
          <w:t xml:space="preserve">NIST SP 800-30 Rev. 1</w:t>
        </w:r>
      </w:hyperlink>
      <w:r>
        <w:rPr>
          <w:rFonts w:ascii="Google Sans" w:cs="Google Sans" w:eastAsia="Google Sans" w:hAnsi="Google Sans"/>
          <w:color w:val="353744"/>
          <w:rtl w:val="0"/>
        </w:rPr>
        <w:t xml:space="preserve"> is used to guide the risk analysis of the information system.</w:t>
      </w:r>
    </w:p>
    <w:p w:rsidR="00000000" w:rsidDel="00000000" w:rsidP="00000000" w:rsidRDefault="00000000" w:rsidRPr="00000000" w14:paraId="00000008">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oymnw3nlvwib" w:id="5"/>
      <w:bookmarkEnd w:id="5"/>
      <w:r>
        <w:rPr>
          <w:rFonts w:ascii="Proxima Nova" w:cs="Proxima Nova" w:eastAsia="Proxima Nova" w:hAnsi="Proxima Nova"/>
          <w:b w:val="1"/>
          <w:color w:val="353744"/>
          <w:sz w:val="28"/>
          <w:szCs w:val="28"/>
          <w:rtl w:val="0"/>
        </w:rPr>
        <w:t xml:space="preserve">Purpose</w:t>
      </w:r>
    </w:p>
    <w:p w:rsidR="00000000" w:rsidDel="00000000" w:rsidP="00000000" w:rsidRDefault="00000000" w:rsidRPr="00000000" w14:paraId="00000009">
      <w:pPr>
        <w:spacing w:after="200" w:before="200" w:lineRule="auto"/>
        <w:rPr>
          <w:rFonts w:ascii="Google Sans" w:cs="Google Sans" w:eastAsia="Google Sans" w:hAnsi="Google Sans"/>
          <w:color w:val="353744"/>
        </w:rPr>
      </w:pPr>
      <w:r>
        <w:rPr>
          <w:rFonts w:ascii="Google Sans" w:cs="Google Sans" w:eastAsia="Google Sans" w:hAnsi="Google Sans"/>
          <w:color w:val="353744"/>
          <w:rtl w:val="0"/>
        </w:rPr>
        <w:t xml:space="preserve">The purpose of this vulnerability assessment is to evaluate the security risks associated with the organization’s MySQL database server, which stores and manages critical business data essential to daily operations. The database server is a high-value asset because it supports key business functions, including customer transactions, internal records, and operational workflows. Unauthorized access or data exfiltration could expose sensitive information, resulting in financial loss and regulatory penalties. If the server were disabled, business operations would be severely disrupted, potentially halting revenue-generating activities and damaging customer trust. This assessment aims to identify and prioritize threats so that appropriate controls can be implemented to protect data confidentiality, integrity, and availability.</w:t>
      </w:r>
    </w:p>
    <w:p w:rsidR="00000000" w:rsidDel="00000000" w:rsidP="00000000" w:rsidRDefault="00000000" w:rsidRPr="00000000" w14:paraId="0000000D">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i2ip4lwifo50" w:id="6"/>
      <w:bookmarkEnd w:id="6"/>
      <w:r>
        <w:rPr>
          <w:rFonts w:ascii="Proxima Nova" w:cs="Proxima Nova" w:eastAsia="Proxima Nova" w:hAnsi="Proxima Nova"/>
          <w:b w:val="1"/>
          <w:color w:val="353744"/>
          <w:sz w:val="28"/>
          <w:szCs w:val="28"/>
          <w:rtl w:val="0"/>
        </w:rPr>
        <w:t xml:space="preserve">Risk Assessment</w:t>
      </w:r>
    </w:p>
    <w:p w:rsidR="00000000" w:rsidDel="00000000" w:rsidP="00000000" w:rsidRDefault="00000000" w:rsidRPr="00000000" w14:paraId="0000000E">
      <w:pPr>
        <w:spacing w:line="312" w:lineRule="auto"/>
        <w:rPr>
          <w:rFonts w:ascii="Google Sans" w:cs="Google Sans" w:eastAsia="Google Sans" w:hAnsi="Google Sans"/>
          <w:color w:val="353744"/>
        </w:rPr>
      </w:pPr>
      <w:r>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color w:val="353744"/>
              </w:rPr>
            </w:pPr>
            <w:r>
              <w:rPr>
                <w:rFonts w:ascii="Google Sans" w:cs="Google Sans" w:eastAsia="Google Sans" w:hAnsi="Google Sans"/>
                <w:b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color w:val="353744"/>
              </w:rPr>
            </w:pPr>
            <w:r>
              <w:rPr>
                <w:rFonts w:ascii="Google Sans" w:cs="Google Sans" w:eastAsia="Google Sans" w:hAnsi="Google Sans"/>
                <w:b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color w:val="353744"/>
              </w:rPr>
            </w:pPr>
            <w:r>
              <w:rPr>
                <w:rFonts w:ascii="Google Sans" w:cs="Google Sans" w:eastAsia="Google Sans" w:hAnsi="Google Sans"/>
                <w:b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color w:val="353744"/>
              </w:rPr>
            </w:pPr>
            <w:r>
              <w:rPr>
                <w:rFonts w:ascii="Google Sans" w:cs="Google Sans" w:eastAsia="Google Sans" w:hAnsi="Google Sans"/>
                <w:b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b w:val="1"/>
                <w:color w:val="353744"/>
              </w:rPr>
            </w:pPr>
            <w:r>
              <w:rPr>
                <w:rFonts w:ascii="Google Sans" w:cs="Google Sans" w:eastAsia="Google Sans" w:hAnsi="Google Sans"/>
                <w:b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i w:val="1"/>
                <w:color w:val="353744"/>
              </w:rPr>
            </w:pPr>
            <w:r>
              <w:rPr>
                <w:rFonts w:ascii="Google Sans" w:cs="Google Sans" w:eastAsia="Google Sans" w:hAnsi="Google Sans"/>
                <w:i w:val="1"/>
                <w:color w:val="353744"/>
                <w:rtl w:val="0"/>
              </w:rPr>
              <w:t xml:space="preserve">E.g.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color w:val="353744"/>
              </w:rPr>
            </w:pPr>
            <w:r>
              <w:rPr>
                <w:rFonts w:ascii="Google Sans" w:cs="Google Sans" w:eastAsia="Google Sans" w:hAnsi="Google Sans"/>
                <w:i w:val="1"/>
                <w:color w:val="353744"/>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color w:val="353744"/>
              </w:rPr>
            </w:pPr>
            <w:r>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i w:val="1"/>
                <w:color w:val="353744"/>
              </w:rPr>
            </w:pPr>
            <w:r>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i w:val="1"/>
                <w:color w:val="353744"/>
              </w:rPr>
            </w:pPr>
            <w:r>
              <w:rPr>
                <w:rFonts w:ascii="Google Sans" w:cs="Google Sans" w:eastAsia="Google Sans" w:hAnsi="Google Sans"/>
                <w:i w:val="1"/>
                <w:color w:val="35374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Hacker (outsider)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Conduct Denial of Service (DoS)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Employee (privileged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color w:val="353744"/>
              </w:rPr>
            </w:pPr>
            <w:r>
              <w:rPr>
                <w:rFonts w:ascii="Google Sans" w:cs="Google Sans" w:eastAsia="Google Sans" w:hAnsi="Google Sans"/>
                <w:color w:val="353744"/>
                <w:rtl w:val="0"/>
              </w:rPr>
              <w:t xml:space="preserve">6</w:t>
            </w:r>
          </w:p>
        </w:tc>
      </w:tr>
    </w:tbl>
    <w:p w:rsidR="00000000" w:rsidDel="00000000" w:rsidP="00000000" w:rsidRDefault="00000000" w:rsidRPr="00000000" w14:paraId="00000023">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a9ivkvfuz16w" w:id="7"/>
      <w:bookmarkEnd w:id="7"/>
      <w:r>
        <w:rPr>
          <w:rFonts w:ascii="Proxima Nova" w:cs="Proxima Nova" w:eastAsia="Proxima Nova" w:hAnsi="Proxima Nova"/>
          <w:b w:val="1"/>
          <w:color w:val="353744"/>
          <w:sz w:val="28"/>
          <w:szCs w:val="28"/>
          <w:rtl w:val="0"/>
        </w:rPr>
        <w:t xml:space="preserve">Approach</w:t>
      </w:r>
    </w:p>
    <w:p w:rsidR="00000000" w:rsidDel="00000000" w:rsidP="00000000" w:rsidRDefault="00000000" w:rsidRPr="00000000" w14:paraId="00000024">
      <w:pPr>
        <w:spacing w:before="200" w:line="312" w:lineRule="auto"/>
        <w:rPr>
          <w:rFonts w:ascii="Google Sans" w:cs="Google Sans" w:eastAsia="Google Sans" w:hAnsi="Google Sans"/>
          <w:color w:val="353744"/>
        </w:rPr>
      </w:pPr>
      <w:r>
        <w:rPr>
          <w:rFonts w:ascii="Google Sans" w:cs="Google Sans" w:eastAsia="Google Sans" w:hAnsi="Google Sans"/>
          <w:color w:val="353744"/>
          <w:rtl w:val="0"/>
        </w:rPr>
        <w:t xml:space="preserve">This assessment used a qualitative methodology guided by NIST SP 800-30 Rev. 1 to evaluate risks to the organization’s MySQL database server. The three threat scenarios were selected because they represent the most probable and impactful risks given the server’s publicly accessible nature and its role in storing sensitive business data. Competitor-driven data exfiltration was prioritized due to the high value of the data and the competitive landscape. A DoS attack was selected because the server’s network-facing configuration makes it susceptible to availability attacks that could halt operations. Insider alteration or deletion of data was included because privileged users with database access pose a significant risk if access controls are insufficient. Likelihood and severity scores were derived using expert judgment based on the server’s known configuration, existing controls (SSL/TLS), and industry threat intelligence. A limitation of this assessment is that it is qualitative rather than quantitative, and the scores reflect professional judgment rather than empirical measurement.</w:t>
      </w:r>
    </w:p>
    <w:p w:rsidR="00000000" w:rsidDel="00000000" w:rsidP="00000000" w:rsidRDefault="00000000" w:rsidRPr="00000000" w14:paraId="00000029">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vf6vykh0xvv7" w:id="8"/>
      <w:bookmarkEnd w:id="8"/>
      <w:r>
        <w:rPr>
          <w:rFonts w:ascii="Proxima Nova" w:cs="Proxima Nova" w:eastAsia="Proxima Nova" w:hAnsi="Proxima Nova"/>
          <w:b w:val="1"/>
          <w:color w:val="353744"/>
          <w:sz w:val="28"/>
          <w:szCs w:val="28"/>
          <w:rtl w:val="0"/>
        </w:rPr>
        <w:t xml:space="preserve">Remediation Strategy</w:t>
      </w:r>
    </w:p>
    <w:p w:rsidR="00000000" w:rsidDel="00000000" w:rsidP="00000000" w:rsidRDefault="00000000" w:rsidRPr="00000000" w14:paraId="0000002A">
      <w:pPr>
        <w:spacing w:before="200" w:line="312" w:lineRule="auto"/>
        <w:rPr>
          <w:rFonts w:ascii="Google Sans" w:cs="Google Sans" w:eastAsia="Google Sans" w:hAnsi="Google Sans"/>
          <w:color w:val="353744"/>
        </w:rPr>
      </w:pPr>
      <w:r>
        <w:rPr>
          <w:rFonts w:ascii="Google Sans" w:cs="Google Sans" w:eastAsia="Google Sans" w:hAnsi="Google Sans"/>
          <w:color w:val="353744"/>
          <w:rtl w:val="0"/>
        </w:rPr>
        <w:t xml:space="preserve">To remediate the identified risks, the organization should implement a combination of technical and operational security controls. First, the principle of least privilege should be enforced by restricting database access to only those users and applications that require it, reducing the impact of both insider threats and external breaches. To address the risk of data exfiltration, the existing SSL/TLS encryption should be supplemented with multi-factor authentication (MFA) for all database administrator accounts and an Authentication, Authorization, and Accounting (AAA) framework to log and monitor access. To mitigate DoS attack risks, rate limiting, traffic filtering, and network-level controls such as firewalls should be deployed in front of the server. Regular audits of user permissions and automated alerts for unusual database activity will further strengthen the defense-in-depth posture and reduce the overall risk score for insider threats from its current level.</w:t>
      </w:r>
    </w:p>
    <w:p w:rsidR="00000000" w:rsidDel="00000000" w:rsidP="00000000" w:rsidRDefault="00000000" w:rsidRPr="00000000" w14:paraId="0000002F">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c4L2azQlnUM-8r43PU9mYlT30BnxTwdjAMqpT7JeZk/edit?resourcekey=0-Q-XglnC3Li7JPK2hIvMkVg#heading=h.hvbcmqwzo9do" TargetMode="External"/></Relationships>
</file>

<file path=word/_rels/fontTable.xml.rels><?xml version="1.0" encoding="UTF-8"?><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