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5E8C"/>
          <w:spacing w:val="40"/>
          <w:sz w:val="19"/>
          <w:szCs w:val="19"/>
        </w:rPr>
        <w:t xml:space="preserve">SMS PLATFORM</w:t>
      </w:r>
    </w:p>
    <w:p>
      <w:pPr>
        <w:spacing w:after="0" w:before="200"/>
        <w:jc w:val="center"/>
      </w:pPr>
      <w:r>
        <w:rPr>
          <w:b/>
          <w:bCs/>
          <w:color w:val="1F3A5F"/>
          <w:sz w:val="44"/>
          <w:szCs w:val="44"/>
        </w:rPr>
        <w:t xml:space="preserve">Compliance Specification</w:t>
      </w:r>
    </w:p>
    <w:p>
      <w:pPr>
        <w:spacing w:after="0" w:before="40"/>
        <w:jc w:val="center"/>
      </w:pPr>
      <w:r>
        <w:rPr>
          <w:b/>
          <w:bCs/>
          <w:color w:val="1F3A5F"/>
          <w:sz w:val="44"/>
          <w:szCs w:val="44"/>
        </w:rPr>
        <w:t xml:space="preserve">and Current Assessment</w:t>
      </w:r>
    </w:p>
    <w:p>
      <w:pPr>
        <w:spacing w:after="0" w:before="230"/>
        <w:jc w:val="center"/>
      </w:pPr>
      <w:r>
        <w:rPr>
          <w:i/>
          <w:iCs/>
          <w:color w:val="5A6672"/>
          <w:sz w:val="21"/>
          <w:szCs w:val="21"/>
        </w:rPr>
        <w:t xml:space="preserve">What exists, what is correct, what needs attention, and in what order</w:t>
      </w:r>
    </w:p>
    <w:p>
      <w:pPr>
        <w:pBdr>
          <w:bottom w:val="single" w:color="2E5E8C" w:sz="8"/>
        </w:pBdr>
        <w:spacing w:before="340"/>
        <w:jc w:val="center"/>
      </w:pPr>
    </w:p>
    <w:p>
      <w:pPr>
        <w:spacing w:after="160"/>
      </w:pPr>
    </w:p>
    <w:tbl>
      <w:tblPr>
        <w:tblW w:type="pct" w:w="100%"/>
        <w:tblBorders>
          <w:top w:val="single" w:color="1F3A5F" w:sz="6"/>
          <w:left w:val="single" w:color="1F3A5F" w:sz="24"/>
          <w:bottom w:val="single" w:color="1F3A5F" w:sz="6"/>
          <w:right w:val="single" w:color="1F3A5F"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3A5F"/>
                <w:sz w:val="21"/>
                <w:szCs w:val="21"/>
              </w:rPr>
              <w:t xml:space="preserve">In one line</w:t>
            </w:r>
          </w:p>
          <w:p>
            <w:pPr>
              <w:spacing w:after="40"/>
            </w:pPr>
            <w:r>
              <w:rPr>
                <w:color w:val="333333"/>
                <w:sz w:val="20"/>
                <w:szCs w:val="20"/>
              </w:rPr>
              <w:t xml:space="preserve">The foundations are in better shape than expected — the regulatory data is real and the rule model is sound. Four gaps need attention before go-live, and three of them are configuration or a single column rather than development work.</w:t>
            </w:r>
          </w:p>
        </w:tc>
      </w:tr>
    </w:tbl>
    <w:p>
      <w:r>
        <w:br w:type="page"/>
      </w:r>
    </w:p>
    <w:p>
      <w:pPr>
        <w:pStyle w:val="Heading1"/>
        <w:spacing w:after="150" w:before="30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rPr>
          <w:b/>
          <w:bCs/>
          <w:color w:val="1F3A5F"/>
          <w:sz w:val="30"/>
          <w:szCs w:val="30"/>
        </w:rPr>
        <w:t xml:space="preserve">1. Purpose</w:t>
      </w:r>
    </w:p>
    <w:p>
      <w:pPr>
        <w:spacing w:after="120" w:line="276"/>
      </w:pPr>
      <w:r>
        <w:rPr>
          <w:color w:val="222222"/>
          <w:sz w:val="21"/>
          <w:szCs w:val="21"/>
        </w:rPr>
        <w:t xml:space="preserve">This document sets out how SMS compliance should work, assesses what has already been built against that, and proposes an order of work.</w:t>
      </w:r>
    </w:p>
    <w:p>
      <w:pPr>
        <w:spacing w:after="120" w:line="276"/>
      </w:pPr>
      <w:r>
        <w:rPr>
          <w:color w:val="222222"/>
          <w:sz w:val="21"/>
          <w:szCs w:val="21"/>
        </w:rPr>
        <w:t xml:space="preserve">It is written to be disagreed with. Where a judgement has been made, the reasoning is stated so it can be challenged rather than accepted on trust.</w:t>
      </w:r>
    </w:p>
    <w:p>
      <w:pPr>
        <w:pStyle w:val="Heading3"/>
        <w:spacing w:after="90" w:before="170"/>
      </w:pPr>
      <w:r>
        <w:rPr>
          <w:b/>
          <w:bCs/>
          <w:color w:val="1F3A5F"/>
          <w:sz w:val="22"/>
          <w:szCs w:val="22"/>
        </w:rPr>
        <w:t xml:space="preserve">Scope</w:t>
      </w:r>
    </w:p>
    <w:p>
      <w:pPr>
        <w:spacing w:after="120" w:line="276"/>
      </w:pPr>
      <w:r>
        <w:rPr>
          <w:color w:val="222222"/>
          <w:sz w:val="21"/>
          <w:szCs w:val="21"/>
        </w:rPr>
        <w:t xml:space="preserve">Compliance specifically: deciding whether a given message may be sent, to whom, and when. Campaign selection, message construction and the delivery mechanism are referenced only where they affect that decision.</w:t>
      </w:r>
    </w:p>
    <w:p>
      <w:r>
        <w:br w:type="page"/>
      </w:r>
    </w:p>
    <w:p>
      <w:pPr>
        <w:pStyle w:val="Heading1"/>
        <w:spacing w:after="150" w:before="300"/>
      </w:pPr>
      <w:r>
        <w:rPr>
          <w:b/>
          <w:bCs/>
          <w:color w:val="1F3A5F"/>
          <w:sz w:val="30"/>
          <w:szCs w:val="30"/>
        </w:rPr>
        <w:t xml:space="preserve">2. What Already Exists</w:t>
      </w:r>
    </w:p>
    <w:p>
      <w:pPr>
        <w:spacing w:after="120" w:line="276"/>
      </w:pPr>
      <w:r>
        <w:rPr>
          <w:color w:val="222222"/>
          <w:sz w:val="21"/>
          <w:szCs w:val="21"/>
        </w:rPr>
        <w:t xml:space="preserve">More than expected, and the quality is high. Worth stating plainly because it changes what remains to be done.</w:t>
      </w:r>
    </w:p>
    <w:p>
      <w:pPr>
        <w:pStyle w:val="Heading2"/>
        <w:spacing w:after="110" w:before="230"/>
      </w:pPr>
      <w:r>
        <w:rPr>
          <w:b/>
          <w:bCs/>
          <w:color w:val="2E5E8C"/>
          <w:sz w:val="25"/>
          <w:szCs w:val="25"/>
        </w:rPr>
        <w:t xml:space="preserve">2.1 Regulatory data</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3800"/>
        <w:gridCol w:w="3660"/>
      </w:tblGrid>
      <w:tr>
        <w:trPr>
          <w:tblHeader/>
        </w:trPr>
        <w:tc>
          <w:tcPr>
            <w:tcW w:type="dxa" w:w="1900"/>
            <w:shd w:fill="1F3A5F" w:val="clear"/>
            <w:tcMar>
              <w:top w:type="dxa" w:w="80"/>
              <w:left w:type="dxa" w:w="100"/>
              <w:bottom w:type="dxa" w:w="80"/>
              <w:right w:type="dxa" w:w="100"/>
            </w:tcMar>
          </w:tcPr>
          <w:p>
            <w:r>
              <w:rPr>
                <w:b/>
                <w:bCs/>
                <w:color w:val="FFFFFF"/>
                <w:sz w:val="18"/>
                <w:szCs w:val="18"/>
              </w:rPr>
              <w:t xml:space="preserve">Table</w:t>
            </w:r>
          </w:p>
        </w:tc>
        <w:tc>
          <w:tcPr>
            <w:tcW w:type="dxa" w:w="3800"/>
            <w:shd w:fill="1F3A5F" w:val="clear"/>
            <w:tcMar>
              <w:top w:type="dxa" w:w="80"/>
              <w:left w:type="dxa" w:w="100"/>
              <w:bottom w:type="dxa" w:w="80"/>
              <w:right w:type="dxa" w:w="100"/>
            </w:tcMar>
          </w:tcPr>
          <w:p>
            <w:r>
              <w:rPr>
                <w:b/>
                <w:bCs/>
                <w:color w:val="FFFFFF"/>
                <w:sz w:val="18"/>
                <w:szCs w:val="18"/>
              </w:rPr>
              <w:t xml:space="preserve">Contents</w:t>
            </w:r>
          </w:p>
        </w:tc>
        <w:tc>
          <w:tcPr>
            <w:tcW w:type="dxa" w:w="3660"/>
            <w:shd w:fill="1F3A5F" w:val="clear"/>
            <w:tcMar>
              <w:top w:type="dxa" w:w="80"/>
              <w:left w:type="dxa" w:w="100"/>
              <w:bottom w:type="dxa" w:w="80"/>
              <w:right w:type="dxa" w:w="100"/>
            </w:tcMar>
          </w:tcPr>
          <w:p>
            <w:r>
              <w:rPr>
                <w:b/>
                <w:bCs/>
                <w:color w:val="FFFFFF"/>
                <w:sz w:val="18"/>
                <w:szCs w:val="18"/>
              </w:rPr>
              <w:t xml:space="preserve">Assessment</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State_TCPA_Rules</w:t>
            </w:r>
          </w:p>
        </w:tc>
        <w:tc>
          <w:tcPr>
            <w:tcW w:type="dxa" w:w="3800"/>
            <w:shd w:fill="F4F8FC" w:val="clear"/>
            <w:tcMar>
              <w:top w:type="dxa" w:w="70"/>
              <w:left w:type="dxa" w:w="100"/>
              <w:bottom w:type="dxa" w:w="70"/>
              <w:right w:type="dxa" w:w="100"/>
            </w:tcMar>
          </w:tcPr>
          <w:p>
            <w:pPr>
              <w:spacing w:after="0"/>
            </w:pPr>
            <w:r>
              <w:rPr>
                <w:color w:val="2A2A2A"/>
                <w:sz w:val="17"/>
                <w:szCs w:val="17"/>
              </w:rPr>
              <w:t xml:space="preserve">Per-state consent requirements, permitted hours, message limits, minimum gap, risk level, legal basis, effective dates</w:t>
            </w:r>
          </w:p>
        </w:tc>
        <w:tc>
          <w:tcPr>
            <w:tcW w:type="dxa" w:w="3660"/>
            <w:shd w:fill="F4F8FC" w:val="clear"/>
            <w:tcMar>
              <w:top w:type="dxa" w:w="70"/>
              <w:left w:type="dxa" w:w="100"/>
              <w:bottom w:type="dxa" w:w="70"/>
              <w:right w:type="dxa" w:w="100"/>
            </w:tcMar>
          </w:tcPr>
          <w:p>
            <w:pPr>
              <w:spacing w:after="0"/>
            </w:pPr>
            <w:r>
              <w:rPr>
                <w:color w:val="2A2A2A"/>
                <w:sz w:val="17"/>
                <w:szCs w:val="17"/>
              </w:rPr>
              <w:t xml:space="preserve">Real regulatory data, not placeholders. Effective and expiration dates mean rule changes can be staged rather than applied by edit.</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ZipCode_TimeZones</w:t>
            </w:r>
          </w:p>
        </w:tc>
        <w:tc>
          <w:tcPr>
            <w:tcW w:type="dxa" w:w="3800"/>
            <w:shd w:fill="FFFFFF" w:val="clear"/>
            <w:tcMar>
              <w:top w:type="dxa" w:w="70"/>
              <w:left w:type="dxa" w:w="100"/>
              <w:bottom w:type="dxa" w:w="70"/>
              <w:right w:type="dxa" w:w="100"/>
            </w:tcMar>
          </w:tcPr>
          <w:p>
            <w:pPr>
              <w:spacing w:after="0"/>
            </w:pPr>
            <w:r>
              <w:rPr>
                <w:color w:val="2A2A2A"/>
                <w:sz w:val="17"/>
                <w:szCs w:val="17"/>
              </w:rPr>
              <w:t xml:space="preserve">~41,000 zips with IANA time zone ids, state, county, city</w:t>
            </w:r>
          </w:p>
        </w:tc>
        <w:tc>
          <w:tcPr>
            <w:tcW w:type="dxa" w:w="3660"/>
            <w:shd w:fill="FFFFFF" w:val="clear"/>
            <w:tcMar>
              <w:top w:type="dxa" w:w="70"/>
              <w:left w:type="dxa" w:w="100"/>
              <w:bottom w:type="dxa" w:w="70"/>
              <w:right w:type="dxa" w:w="100"/>
            </w:tcMar>
          </w:tcPr>
          <w:p>
            <w:pPr>
              <w:spacing w:after="0"/>
            </w:pPr>
            <w:r>
              <w:rPr>
                <w:color w:val="2A2A2A"/>
                <w:sz w:val="17"/>
                <w:szCs w:val="17"/>
              </w:rPr>
              <w:t xml:space="preserve">Correct approach. IANA ids rather than fixed offsets is what makes daylight saving tractable.</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TimeZone_Display_Map</w:t>
            </w:r>
          </w:p>
        </w:tc>
        <w:tc>
          <w:tcPr>
            <w:tcW w:type="dxa" w:w="3800"/>
            <w:shd w:fill="F4F8FC" w:val="clear"/>
            <w:tcMar>
              <w:top w:type="dxa" w:w="70"/>
              <w:left w:type="dxa" w:w="100"/>
              <w:bottom w:type="dxa" w:w="70"/>
              <w:right w:type="dxa" w:w="100"/>
            </w:tcMar>
          </w:tcPr>
          <w:p>
            <w:pPr>
              <w:spacing w:after="0"/>
            </w:pPr>
            <w:r>
              <w:rPr>
                <w:color w:val="2A2A2A"/>
                <w:sz w:val="17"/>
                <w:szCs w:val="17"/>
              </w:rPr>
              <w:t xml:space="preserve">Standard and daylight abbreviations, ObservesDST flag</w:t>
            </w:r>
          </w:p>
        </w:tc>
        <w:tc>
          <w:tcPr>
            <w:tcW w:type="dxa" w:w="3660"/>
            <w:shd w:fill="F4F8FC" w:val="clear"/>
            <w:tcMar>
              <w:top w:type="dxa" w:w="70"/>
              <w:left w:type="dxa" w:w="100"/>
              <w:bottom w:type="dxa" w:w="70"/>
              <w:right w:type="dxa" w:w="100"/>
            </w:tcMar>
          </w:tcPr>
          <w:p>
            <w:pPr>
              <w:spacing w:after="0"/>
            </w:pPr>
            <w:r>
              <w:rPr>
                <w:color w:val="2A2A2A"/>
                <w:sz w:val="17"/>
                <w:szCs w:val="17"/>
              </w:rPr>
              <w:t xml:space="preserve">Includes the awkward cases — Indiana and Kentucky sub-zones, Arizona without DST.</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SMS_Compliance_Rules</w:t>
            </w:r>
          </w:p>
        </w:tc>
        <w:tc>
          <w:tcPr>
            <w:tcW w:type="dxa" w:w="3800"/>
            <w:shd w:fill="FFFFFF" w:val="clear"/>
            <w:tcMar>
              <w:top w:type="dxa" w:w="70"/>
              <w:left w:type="dxa" w:w="100"/>
              <w:bottom w:type="dxa" w:w="70"/>
              <w:right w:type="dxa" w:w="100"/>
            </w:tcMar>
          </w:tcPr>
          <w:p>
            <w:pPr>
              <w:spacing w:after="0"/>
            </w:pPr>
            <w:r>
              <w:rPr>
                <w:color w:val="2A2A2A"/>
                <w:sz w:val="17"/>
                <w:szCs w:val="17"/>
              </w:rPr>
              <w:t xml:space="preserve">Five named rules with BLOCK or QUEUE actions</w:t>
            </w:r>
          </w:p>
        </w:tc>
        <w:tc>
          <w:tcPr>
            <w:tcW w:type="dxa" w:w="3660"/>
            <w:shd w:fill="FFFFFF" w:val="clear"/>
            <w:tcMar>
              <w:top w:type="dxa" w:w="70"/>
              <w:left w:type="dxa" w:w="100"/>
              <w:bottom w:type="dxa" w:w="70"/>
              <w:right w:type="dxa" w:w="100"/>
            </w:tcMar>
          </w:tcPr>
          <w:p>
            <w:pPr>
              <w:spacing w:after="0"/>
            </w:pPr>
            <w:r>
              <w:rPr>
                <w:color w:val="2A2A2A"/>
                <w:sz w:val="17"/>
                <w:szCs w:val="17"/>
              </w:rPr>
              <w:t xml:space="preserve">The action split is the important part. See 3.1.</w:t>
            </w:r>
          </w:p>
        </w:tc>
      </w:tr>
    </w:tbl>
    <w:p>
      <w:pPr>
        <w:pStyle w:val="Heading2"/>
        <w:spacing w:after="110" w:before="230"/>
      </w:pPr>
      <w:r>
        <w:rPr>
          <w:b/>
          <w:bCs/>
          <w:color w:val="2E5E8C"/>
          <w:sz w:val="25"/>
          <w:szCs w:val="25"/>
        </w:rPr>
        <w:t xml:space="preserve">2.2 Pipeline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4200"/>
        <w:gridCol w:w="5160"/>
      </w:tblGrid>
      <w:tr>
        <w:trPr>
          <w:tblHeader/>
        </w:trPr>
        <w:tc>
          <w:tcPr>
            <w:tcW w:type="dxa" w:w="4200"/>
            <w:shd w:fill="1F3A5F" w:val="clear"/>
            <w:tcMar>
              <w:top w:type="dxa" w:w="80"/>
              <w:left w:type="dxa" w:w="100"/>
              <w:bottom w:type="dxa" w:w="80"/>
              <w:right w:type="dxa" w:w="100"/>
            </w:tcMar>
          </w:tcPr>
          <w:p>
            <w:r>
              <w:rPr>
                <w:b/>
                <w:bCs/>
                <w:color w:val="FFFFFF"/>
                <w:sz w:val="18"/>
                <w:szCs w:val="18"/>
              </w:rPr>
              <w:t xml:space="preserve">Component</w:t>
            </w:r>
          </w:p>
        </w:tc>
        <w:tc>
          <w:tcPr>
            <w:tcW w:type="dxa" w:w="5160"/>
            <w:shd w:fill="1F3A5F" w:val="clear"/>
            <w:tcMar>
              <w:top w:type="dxa" w:w="80"/>
              <w:left w:type="dxa" w:w="100"/>
              <w:bottom w:type="dxa" w:w="80"/>
              <w:right w:type="dxa" w:w="100"/>
            </w:tcMar>
          </w:tcPr>
          <w:p>
            <w:r>
              <w:rPr>
                <w:b/>
                <w:bCs/>
                <w:color w:val="FFFFFF"/>
                <w:sz w:val="18"/>
                <w:szCs w:val="18"/>
              </w:rPr>
              <w:t xml:space="preserve">Status</w:t>
            </w:r>
          </w:p>
        </w:tc>
      </w:tr>
      <w:tr>
        <w:tc>
          <w:tcPr>
            <w:tcW w:type="dxa" w:w="4200"/>
            <w:shd w:fill="F4F8FC" w:val="clear"/>
            <w:tcMar>
              <w:top w:type="dxa" w:w="70"/>
              <w:left w:type="dxa" w:w="100"/>
              <w:bottom w:type="dxa" w:w="70"/>
              <w:right w:type="dxa" w:w="100"/>
            </w:tcMar>
          </w:tcPr>
          <w:p>
            <w:pPr>
              <w:spacing w:after="0"/>
            </w:pPr>
            <w:r>
              <w:rPr>
                <w:color w:val="2A2A2A"/>
                <w:sz w:val="17"/>
                <w:szCs w:val="17"/>
              </w:rPr>
              <w:t xml:space="preserve">SMS templates with field mapping</w:t>
            </w:r>
          </w:p>
        </w:tc>
        <w:tc>
          <w:tcPr>
            <w:tcW w:type="dxa" w:w="5160"/>
            <w:shd w:fill="F4F8FC" w:val="clear"/>
            <w:tcMar>
              <w:top w:type="dxa" w:w="70"/>
              <w:left w:type="dxa" w:w="100"/>
              <w:bottom w:type="dxa" w:w="70"/>
              <w:right w:type="dxa" w:w="100"/>
            </w:tcMar>
          </w:tcPr>
          <w:p>
            <w:pPr>
              <w:spacing w:after="0"/>
            </w:pPr>
            <w:r>
              <w:rPr>
                <w:color w:val="2A2A2A"/>
                <w:sz w:val="17"/>
                <w:szCs w:val="17"/>
              </w:rPr>
              <w:t xml:space="preserve">Built</w:t>
            </w:r>
          </w:p>
        </w:tc>
      </w:tr>
      <w:tr>
        <w:tc>
          <w:tcPr>
            <w:tcW w:type="dxa" w:w="4200"/>
            <w:shd w:fill="FFFFFF" w:val="clear"/>
            <w:tcMar>
              <w:top w:type="dxa" w:w="70"/>
              <w:left w:type="dxa" w:w="100"/>
              <w:bottom w:type="dxa" w:w="70"/>
              <w:right w:type="dxa" w:w="100"/>
            </w:tcMar>
          </w:tcPr>
          <w:p>
            <w:pPr>
              <w:spacing w:after="0"/>
            </w:pPr>
            <w:r>
              <w:rPr>
                <w:color w:val="2A2A2A"/>
                <w:sz w:val="17"/>
                <w:szCs w:val="17"/>
              </w:rPr>
              <w:t xml:space="preserve">Per-campaign send count limits</w:t>
            </w:r>
          </w:p>
        </w:tc>
        <w:tc>
          <w:tcPr>
            <w:tcW w:type="dxa" w:w="5160"/>
            <w:shd w:fill="FFFFFF" w:val="clear"/>
            <w:tcMar>
              <w:top w:type="dxa" w:w="70"/>
              <w:left w:type="dxa" w:w="100"/>
              <w:bottom w:type="dxa" w:w="70"/>
              <w:right w:type="dxa" w:w="100"/>
            </w:tcMar>
          </w:tcPr>
          <w:p>
            <w:pPr>
              <w:spacing w:after="0"/>
            </w:pPr>
            <w:r>
              <w:rPr>
                <w:color w:val="2A2A2A"/>
                <w:sz w:val="17"/>
                <w:szCs w:val="17"/>
              </w:rPr>
              <w:t xml:space="preserve">Built</w:t>
            </w:r>
          </w:p>
        </w:tc>
      </w:tr>
      <w:tr>
        <w:tc>
          <w:tcPr>
            <w:tcW w:type="dxa" w:w="4200"/>
            <w:shd w:fill="F4F8FC" w:val="clear"/>
            <w:tcMar>
              <w:top w:type="dxa" w:w="70"/>
              <w:left w:type="dxa" w:w="100"/>
              <w:bottom w:type="dxa" w:w="70"/>
              <w:right w:type="dxa" w:w="100"/>
            </w:tcMar>
          </w:tcPr>
          <w:p>
            <w:pPr>
              <w:spacing w:after="0"/>
            </w:pPr>
            <w:r>
              <w:rPr>
                <w:color w:val="2A2A2A"/>
                <w:sz w:val="17"/>
                <w:szCs w:val="17"/>
              </w:rPr>
              <w:t xml:space="preserve">Account selection (EOS)</w:t>
            </w:r>
          </w:p>
        </w:tc>
        <w:tc>
          <w:tcPr>
            <w:tcW w:type="dxa" w:w="5160"/>
            <w:shd w:fill="F4F8FC" w:val="clear"/>
            <w:tcMar>
              <w:top w:type="dxa" w:w="70"/>
              <w:left w:type="dxa" w:w="100"/>
              <w:bottom w:type="dxa" w:w="70"/>
              <w:right w:type="dxa" w:w="100"/>
            </w:tcMar>
          </w:tcPr>
          <w:p>
            <w:pPr>
              <w:spacing w:after="0"/>
            </w:pPr>
            <w:r>
              <w:rPr>
                <w:color w:val="2A2A2A"/>
                <w:sz w:val="17"/>
                <w:szCs w:val="17"/>
              </w:rPr>
              <w:t xml:space="preserve">Built</w:t>
            </w:r>
          </w:p>
        </w:tc>
      </w:tr>
      <w:tr>
        <w:tc>
          <w:tcPr>
            <w:tcW w:type="dxa" w:w="4200"/>
            <w:shd w:fill="FFFFFF" w:val="clear"/>
            <w:tcMar>
              <w:top w:type="dxa" w:w="70"/>
              <w:left w:type="dxa" w:w="100"/>
              <w:bottom w:type="dxa" w:w="70"/>
              <w:right w:type="dxa" w:w="100"/>
            </w:tcMar>
          </w:tcPr>
          <w:p>
            <w:pPr>
              <w:spacing w:after="0"/>
            </w:pPr>
            <w:r>
              <w:rPr>
                <w:color w:val="2A2A2A"/>
                <w:sz w:val="17"/>
                <w:szCs w:val="17"/>
              </w:rPr>
              <w:t xml:space="preserve">Account selection (RM)</w:t>
            </w:r>
          </w:p>
        </w:tc>
        <w:tc>
          <w:tcPr>
            <w:tcW w:type="dxa" w:w="5160"/>
            <w:shd w:fill="FFFFFF" w:val="clear"/>
            <w:tcMar>
              <w:top w:type="dxa" w:w="70"/>
              <w:left w:type="dxa" w:w="100"/>
              <w:bottom w:type="dxa" w:w="70"/>
              <w:right w:type="dxa" w:w="100"/>
            </w:tcMar>
          </w:tcPr>
          <w:p>
            <w:pPr>
              <w:spacing w:after="0"/>
            </w:pPr>
            <w:r>
              <w:rPr>
                <w:color w:val="2A2A2A"/>
                <w:sz w:val="17"/>
                <w:szCs w:val="17"/>
              </w:rPr>
              <w:t xml:space="preserve">In progress</w:t>
            </w:r>
          </w:p>
        </w:tc>
      </w:tr>
      <w:tr>
        <w:tc>
          <w:tcPr>
            <w:tcW w:type="dxa" w:w="4200"/>
            <w:shd w:fill="F4F8FC" w:val="clear"/>
            <w:tcMar>
              <w:top w:type="dxa" w:w="70"/>
              <w:left w:type="dxa" w:w="100"/>
              <w:bottom w:type="dxa" w:w="70"/>
              <w:right w:type="dxa" w:w="100"/>
            </w:tcMar>
          </w:tcPr>
          <w:p>
            <w:pPr>
              <w:spacing w:after="0"/>
            </w:pPr>
            <w:r>
              <w:rPr>
                <w:color w:val="2A2A2A"/>
                <w:sz w:val="17"/>
                <w:szCs w:val="17"/>
              </w:rPr>
              <w:t xml:space="preserve">SMS_Queue_Mst / SMS_Queue_Detail</w:t>
            </w:r>
          </w:p>
        </w:tc>
        <w:tc>
          <w:tcPr>
            <w:tcW w:type="dxa" w:w="5160"/>
            <w:shd w:fill="F4F8FC" w:val="clear"/>
            <w:tcMar>
              <w:top w:type="dxa" w:w="70"/>
              <w:left w:type="dxa" w:w="100"/>
              <w:bottom w:type="dxa" w:w="70"/>
              <w:right w:type="dxa" w:w="100"/>
            </w:tcMar>
          </w:tcPr>
          <w:p>
            <w:pPr>
              <w:spacing w:after="0"/>
            </w:pPr>
            <w:r>
              <w:rPr>
                <w:color w:val="2A2A2A"/>
                <w:sz w:val="17"/>
                <w:szCs w:val="17"/>
              </w:rPr>
              <w:t xml:space="preserve">Built, with compliance columns already present</w:t>
            </w:r>
          </w:p>
        </w:tc>
      </w:tr>
      <w:tr>
        <w:tc>
          <w:tcPr>
            <w:tcW w:type="dxa" w:w="4200"/>
            <w:shd w:fill="FFFFFF" w:val="clear"/>
            <w:tcMar>
              <w:top w:type="dxa" w:w="70"/>
              <w:left w:type="dxa" w:w="100"/>
              <w:bottom w:type="dxa" w:w="70"/>
              <w:right w:type="dxa" w:w="100"/>
            </w:tcMar>
          </w:tcPr>
          <w:p>
            <w:pPr>
              <w:spacing w:after="0"/>
            </w:pPr>
            <w:r>
              <w:rPr>
                <w:color w:val="2A2A2A"/>
                <w:sz w:val="17"/>
                <w:szCs w:val="17"/>
              </w:rPr>
              <w:t xml:space="preserve">Webex Connect send</w:t>
            </w:r>
          </w:p>
        </w:tc>
        <w:tc>
          <w:tcPr>
            <w:tcW w:type="dxa" w:w="5160"/>
            <w:shd w:fill="FFFFFF" w:val="clear"/>
            <w:tcMar>
              <w:top w:type="dxa" w:w="70"/>
              <w:left w:type="dxa" w:w="100"/>
              <w:bottom w:type="dxa" w:w="70"/>
              <w:right w:type="dxa" w:w="100"/>
            </w:tcMar>
          </w:tcPr>
          <w:p>
            <w:pPr>
              <w:spacing w:after="0"/>
            </w:pPr>
            <w:r>
              <w:rPr>
                <w:color w:val="2A2A2A"/>
                <w:sz w:val="17"/>
                <w:szCs w:val="17"/>
              </w:rPr>
              <w:t xml:space="preserve">Proven — a real message has been sent and received</w:t>
            </w:r>
          </w:p>
        </w:tc>
      </w:tr>
      <w:tr>
        <w:tc>
          <w:tcPr>
            <w:tcW w:type="dxa" w:w="4200"/>
            <w:shd w:fill="F4F8FC" w:val="clear"/>
            <w:tcMar>
              <w:top w:type="dxa" w:w="70"/>
              <w:left w:type="dxa" w:w="100"/>
              <w:bottom w:type="dxa" w:w="70"/>
              <w:right w:type="dxa" w:w="100"/>
            </w:tcMar>
          </w:tcPr>
          <w:p>
            <w:pPr>
              <w:spacing w:after="0"/>
            </w:pPr>
            <w:r>
              <w:rPr>
                <w:color w:val="2A2A2A"/>
                <w:sz w:val="17"/>
                <w:szCs w:val="17"/>
              </w:rPr>
              <w:t xml:space="preserve">Compliance evaluation</w:t>
            </w:r>
          </w:p>
        </w:tc>
        <w:tc>
          <w:tcPr>
            <w:tcW w:type="dxa" w:w="5160"/>
            <w:shd w:fill="F4F8FC" w:val="clear"/>
            <w:tcMar>
              <w:top w:type="dxa" w:w="70"/>
              <w:left w:type="dxa" w:w="100"/>
              <w:bottom w:type="dxa" w:w="70"/>
              <w:right w:type="dxa" w:w="100"/>
            </w:tcMar>
          </w:tcPr>
          <w:p>
            <w:pPr>
              <w:spacing w:after="0"/>
            </w:pPr>
            <w:r>
              <w:rPr>
                <w:color w:val="2A2A2A"/>
                <w:sz w:val="17"/>
                <w:szCs w:val="17"/>
              </w:rPr>
              <w:t xml:space="preserve">Not started — this document's subject</w:t>
            </w:r>
          </w:p>
        </w:tc>
      </w:tr>
      <w:tr>
        <w:tc>
          <w:tcPr>
            <w:tcW w:type="dxa" w:w="4200"/>
            <w:shd w:fill="FFFFFF" w:val="clear"/>
            <w:tcMar>
              <w:top w:type="dxa" w:w="70"/>
              <w:left w:type="dxa" w:w="100"/>
              <w:bottom w:type="dxa" w:w="70"/>
              <w:right w:type="dxa" w:w="100"/>
            </w:tcMar>
          </w:tcPr>
          <w:p>
            <w:pPr>
              <w:spacing w:after="0"/>
            </w:pPr>
            <w:r>
              <w:rPr>
                <w:color w:val="2A2A2A"/>
                <w:sz w:val="17"/>
                <w:szCs w:val="17"/>
              </w:rPr>
              <w:t xml:space="preserve">Delivery status handling</w:t>
            </w:r>
          </w:p>
        </w:tc>
        <w:tc>
          <w:tcPr>
            <w:tcW w:type="dxa" w:w="5160"/>
            <w:shd w:fill="FFFFFF" w:val="clear"/>
            <w:tcMar>
              <w:top w:type="dxa" w:w="70"/>
              <w:left w:type="dxa" w:w="100"/>
              <w:bottom w:type="dxa" w:w="70"/>
              <w:right w:type="dxa" w:w="100"/>
            </w:tcMar>
          </w:tcPr>
          <w:p>
            <w:pPr>
              <w:spacing w:after="0"/>
            </w:pPr>
            <w:r>
              <w:rPr>
                <w:color w:val="2A2A2A"/>
                <w:sz w:val="17"/>
                <w:szCs w:val="17"/>
              </w:rPr>
              <w:t xml:space="preserve">Not started, and currently blocked (see 4.3)</w:t>
            </w:r>
          </w:p>
        </w:tc>
      </w:tr>
    </w:tbl>
    <w:p>
      <w:pPr>
        <w:pStyle w:val="Heading2"/>
        <w:spacing w:after="110" w:before="230"/>
      </w:pPr>
      <w:r>
        <w:rPr>
          <w:b/>
          <w:bCs/>
          <w:color w:val="2E5E8C"/>
          <w:sz w:val="25"/>
          <w:szCs w:val="25"/>
        </w:rPr>
        <w:t xml:space="preserve">2.3 Queue detail already carries what compliance needs</w:t>
      </w:r>
    </w:p>
    <w:p>
      <w:pPr>
        <w:spacing w:after="120" w:line="276"/>
      </w:pPr>
      <w:r>
        <w:rPr>
          <w:color w:val="222222"/>
          <w:sz w:val="21"/>
          <w:szCs w:val="21"/>
        </w:rPr>
        <w:t xml:space="preserve">SMS_Queue_Detail has UseTimeZone, Allowed_From, Allowed_To, and both phone sets — Mobile/StateCode/ZipCode alongside PatMobile/PatStateCode/PatZipCode. The columns for the patient-versus-guarantor distinction are in place.</w:t>
      </w:r>
    </w:p>
    <w:p>
      <w:pPr>
        <w:spacing w:after="120" w:line="276"/>
      </w:pPr>
      <w:r>
        <w:rPr>
          <w:i/>
          <w:iCs/>
          <w:color w:val="5A6672"/>
          <w:sz w:val="21"/>
          <w:szCs w:val="21"/>
        </w:rPr>
        <w:t xml:space="preserve">UseTimeZone is already populated with IANA ids in existing rows, which means something already resolves the zone. Worth identifying what — see 5.4.</w:t>
      </w:r>
    </w:p>
    <w:p>
      <w:r>
        <w:br w:type="page"/>
      </w:r>
    </w:p>
    <w:p>
      <w:pPr>
        <w:pStyle w:val="Heading1"/>
        <w:spacing w:after="150" w:before="300"/>
      </w:pPr>
      <w:r>
        <w:rPr>
          <w:b/>
          <w:bCs/>
          <w:color w:val="1F3A5F"/>
          <w:sz w:val="30"/>
          <w:szCs w:val="30"/>
        </w:rPr>
        <w:t xml:space="preserve">3. What Is Right</w:t>
      </w:r>
    </w:p>
    <w:p>
      <w:pPr>
        <w:spacing w:after="120" w:line="276"/>
      </w:pPr>
      <w:r>
        <w:rPr>
          <w:color w:val="222222"/>
          <w:sz w:val="21"/>
          <w:szCs w:val="21"/>
        </w:rPr>
        <w:t xml:space="preserve">These decisions are worth defending if they are questioned later.</w:t>
      </w:r>
    </w:p>
    <w:p>
      <w:pPr>
        <w:pStyle w:val="Heading2"/>
        <w:spacing w:after="110" w:before="230"/>
      </w:pPr>
      <w:r>
        <w:rPr>
          <w:b/>
          <w:bCs/>
          <w:color w:val="2E5E8C"/>
          <w:sz w:val="25"/>
          <w:szCs w:val="25"/>
        </w:rPr>
        <w:t xml:space="preserve">3.1 BLOCK versus QUEUE</w:t>
      </w:r>
    </w:p>
    <w:p>
      <w:pPr>
        <w:spacing w:after="120" w:line="276"/>
      </w:pPr>
      <w:r>
        <w:rPr>
          <w:color w:val="222222"/>
          <w:sz w:val="21"/>
          <w:szCs w:val="21"/>
        </w:rPr>
        <w:t xml:space="preserve">SMS_Compliance_Rules distinguishes rules that stop a message permanently from the one that merely delays it. Time_Range is QUEUE; everything else is BLOCK.</w:t>
      </w:r>
    </w:p>
    <w:p>
      <w:pPr>
        <w:spacing w:after="120" w:line="276"/>
      </w:pPr>
      <w:r>
        <w:rPr>
          <w:color w:val="222222"/>
          <w:sz w:val="21"/>
          <w:szCs w:val="21"/>
        </w:rPr>
        <w:t xml:space="preserve">This is the correct distinction and it is easy to get wrong. A message outside the permitted hours is legal later today. A message to someone who opted out is never legal. Collapsing both into a single “failed” outcome loses the difference and produces either messages that never send or messages that should never have sent.</w:t>
      </w:r>
    </w:p>
    <w:p>
      <w:pPr>
        <w:pStyle w:val="Heading2"/>
        <w:spacing w:after="110" w:before="230"/>
      </w:pPr>
      <w:r>
        <w:rPr>
          <w:b/>
          <w:bCs/>
          <w:color w:val="2E5E8C"/>
          <w:sz w:val="25"/>
          <w:szCs w:val="25"/>
        </w:rPr>
        <w:t xml:space="preserve">3.2 Per-state rules rather than one national rule</w:t>
      </w:r>
    </w:p>
    <w:p>
      <w:pPr>
        <w:spacing w:after="120" w:line="276"/>
      </w:pPr>
      <w:r>
        <w:rPr>
          <w:color w:val="222222"/>
          <w:sz w:val="21"/>
          <w:szCs w:val="21"/>
        </w:rPr>
        <w:t xml:space="preserve">The variation in the data is substantial. Most states permit three messages per rolling thirty days with seven days between them; Colorado and DC permit two with fifteen days; Florida permits one with thirty days and requires written consent.</w:t>
      </w:r>
    </w:p>
    <w:p>
      <w:pPr>
        <w:spacing w:after="120" w:line="276"/>
      </w:pPr>
      <w:r>
        <w:rPr>
          <w:color w:val="222222"/>
          <w:sz w:val="21"/>
          <w:szCs w:val="21"/>
        </w:rPr>
        <w:t xml:space="preserve">A single national rule set to the common case would breach the stricter states on volume, on cadence, and in Florida's case on the basis of consent as well.</w:t>
      </w:r>
    </w:p>
    <w:p>
      <w:pPr>
        <w:pStyle w:val="Heading2"/>
        <w:spacing w:after="110" w:before="230"/>
      </w:pPr>
      <w:r>
        <w:rPr>
          <w:b/>
          <w:bCs/>
          <w:color w:val="2E5E8C"/>
          <w:sz w:val="25"/>
          <w:szCs w:val="25"/>
        </w:rPr>
        <w:t xml:space="preserve">3.3 Owning compliance rather than relying on the vendor</w:t>
      </w:r>
    </w:p>
    <w:p>
      <w:pPr>
        <w:spacing w:after="120" w:line="276"/>
      </w:pPr>
      <w:r>
        <w:rPr>
          <w:color w:val="222222"/>
          <w:sz w:val="21"/>
          <w:szCs w:val="21"/>
        </w:rPr>
        <w:t xml:space="preserve">The intent to handle compliance internally is right, and the Webex configuration confirms why. The live Connect flow is a webhook feeding straight into an SMS node with nothing in between. ZIPCODE is passed into the flow and not used. There is no timing check, no DNC check and no frequency check on that path.</w:t>
      </w:r>
    </w:p>
    <w:p>
      <w:pPr>
        <w:spacing w:after="120" w:line="276"/>
      </w:pPr>
      <w:r>
        <w:rPr>
          <w:color w:val="222222"/>
          <w:sz w:val="21"/>
          <w:szCs w:val="21"/>
        </w:rPr>
        <w:t xml:space="preserve">Compliance is not partly ours. On the current configuration it is entirely ours.</w:t>
      </w:r>
    </w:p>
    <w:p>
      <w:pPr>
        <w:pStyle w:val="Heading2"/>
        <w:spacing w:after="110" w:before="230"/>
      </w:pPr>
      <w:r>
        <w:rPr>
          <w:b/>
          <w:bCs/>
          <w:color w:val="2E5E8C"/>
          <w:sz w:val="25"/>
          <w:szCs w:val="25"/>
        </w:rPr>
        <w:t xml:space="preserve">3.4 Effective and expiration dates on rules</w:t>
      </w:r>
    </w:p>
    <w:p>
      <w:pPr>
        <w:spacing w:after="120" w:line="276"/>
      </w:pPr>
      <w:r>
        <w:rPr>
          <w:color w:val="222222"/>
          <w:sz w:val="21"/>
          <w:szCs w:val="21"/>
        </w:rPr>
        <w:t xml:space="preserve">State_TCPA_Rules carries EffectiveDate and ExpirationDate. This allows a rule change to be loaded ahead of time and take effect on its own date, rather than someone editing a row at the moment the law changes. Small detail, meaningful in an audit.</w:t>
      </w:r>
    </w:p>
    <w:p>
      <w:r>
        <w:br w:type="page"/>
      </w:r>
    </w:p>
    <w:p>
      <w:pPr>
        <w:pStyle w:val="Heading1"/>
        <w:spacing w:after="150" w:before="300"/>
      </w:pPr>
      <w:r>
        <w:rPr>
          <w:b/>
          <w:bCs/>
          <w:color w:val="1F3A5F"/>
          <w:sz w:val="30"/>
          <w:szCs w:val="30"/>
        </w:rPr>
        <w:t xml:space="preserve">4. Gaps Needing Attention</w:t>
      </w:r>
    </w:p>
    <w:p>
      <w:pPr>
        <w:spacing w:after="120" w:line="276"/>
      </w:pPr>
      <w:r>
        <w:rPr>
          <w:color w:val="222222"/>
          <w:sz w:val="21"/>
          <w:szCs w:val="21"/>
        </w:rPr>
        <w:t xml:space="preserve">Ordered by consequence. Severity reflects both likelihood and what happens when it occurs.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600"/>
        <w:gridCol w:w="4400"/>
        <w:gridCol w:w="1900"/>
        <w:gridCol w:w="2460"/>
      </w:tblGrid>
      <w:tr>
        <w:trPr>
          <w:tblHeader/>
        </w:trPr>
        <w:tc>
          <w:tcPr>
            <w:tcW w:type="dxa" w:w="600"/>
            <w:shd w:fill="1F3A5F" w:val="clear"/>
            <w:tcMar>
              <w:top w:type="dxa" w:w="80"/>
              <w:left w:type="dxa" w:w="100"/>
              <w:bottom w:type="dxa" w:w="80"/>
              <w:right w:type="dxa" w:w="100"/>
            </w:tcMar>
          </w:tcPr>
          <w:p>
            <w:r>
              <w:rPr>
                <w:b/>
                <w:bCs/>
                <w:color w:val="FFFFFF"/>
                <w:sz w:val="18"/>
                <w:szCs w:val="18"/>
              </w:rPr>
              <w:t xml:space="preserve">#</w:t>
            </w:r>
          </w:p>
        </w:tc>
        <w:tc>
          <w:tcPr>
            <w:tcW w:type="dxa" w:w="4400"/>
            <w:shd w:fill="1F3A5F" w:val="clear"/>
            <w:tcMar>
              <w:top w:type="dxa" w:w="80"/>
              <w:left w:type="dxa" w:w="100"/>
              <w:bottom w:type="dxa" w:w="80"/>
              <w:right w:type="dxa" w:w="100"/>
            </w:tcMar>
          </w:tcPr>
          <w:p>
            <w:r>
              <w:rPr>
                <w:b/>
                <w:bCs/>
                <w:color w:val="FFFFFF"/>
                <w:sz w:val="18"/>
                <w:szCs w:val="18"/>
              </w:rPr>
              <w:t xml:space="preserve">Gap</w:t>
            </w:r>
          </w:p>
        </w:tc>
        <w:tc>
          <w:tcPr>
            <w:tcW w:type="dxa" w:w="1900"/>
            <w:shd w:fill="1F3A5F" w:val="clear"/>
            <w:tcMar>
              <w:top w:type="dxa" w:w="80"/>
              <w:left w:type="dxa" w:w="100"/>
              <w:bottom w:type="dxa" w:w="80"/>
              <w:right w:type="dxa" w:w="100"/>
            </w:tcMar>
          </w:tcPr>
          <w:p>
            <w:r>
              <w:rPr>
                <w:b/>
                <w:bCs/>
                <w:color w:val="FFFFFF"/>
                <w:sz w:val="18"/>
                <w:szCs w:val="18"/>
              </w:rPr>
              <w:t xml:space="preserve">Severity</w:t>
            </w:r>
          </w:p>
        </w:tc>
        <w:tc>
          <w:tcPr>
            <w:tcW w:type="dxa" w:w="2460"/>
            <w:shd w:fill="1F3A5F" w:val="clear"/>
            <w:tcMar>
              <w:top w:type="dxa" w:w="80"/>
              <w:left w:type="dxa" w:w="100"/>
              <w:bottom w:type="dxa" w:w="80"/>
              <w:right w:type="dxa" w:w="100"/>
            </w:tcMar>
          </w:tcPr>
          <w:p>
            <w:r>
              <w:rPr>
                <w:b/>
                <w:bCs/>
                <w:color w:val="FFFFFF"/>
                <w:sz w:val="18"/>
                <w:szCs w:val="18"/>
              </w:rPr>
              <w:t xml:space="preserve">Effort</w:t>
            </w:r>
          </w:p>
        </w:tc>
      </w:tr>
      <w:tr>
        <w:tc>
          <w:tcPr>
            <w:tcW w:type="dxa" w:w="600"/>
            <w:shd w:fill="F4F8FC" w:val="clear"/>
            <w:tcMar>
              <w:top w:type="dxa" w:w="70"/>
              <w:left w:type="dxa" w:w="100"/>
              <w:bottom w:type="dxa" w:w="70"/>
              <w:right w:type="dxa" w:w="100"/>
            </w:tcMar>
          </w:tcPr>
          <w:p>
            <w:pPr>
              <w:spacing w:after="0"/>
            </w:pPr>
            <w:r>
              <w:rPr>
                <w:color w:val="2A2A2A"/>
                <w:sz w:val="17"/>
                <w:szCs w:val="17"/>
              </w:rPr>
              <w:t xml:space="preserve">4.1</w:t>
            </w:r>
          </w:p>
        </w:tc>
        <w:tc>
          <w:tcPr>
            <w:tcW w:type="dxa" w:w="4400"/>
            <w:shd w:fill="F4F8FC" w:val="clear"/>
            <w:tcMar>
              <w:top w:type="dxa" w:w="70"/>
              <w:left w:type="dxa" w:w="100"/>
              <w:bottom w:type="dxa" w:w="70"/>
              <w:right w:type="dxa" w:w="100"/>
            </w:tcMar>
          </w:tcPr>
          <w:p>
            <w:pPr>
              <w:spacing w:after="0"/>
            </w:pPr>
            <w:r>
              <w:rPr>
                <w:color w:val="2A2A2A"/>
                <w:sz w:val="17"/>
                <w:szCs w:val="17"/>
              </w:rPr>
              <w:t xml:space="preserve">No duplicate-send prevention</w:t>
            </w:r>
          </w:p>
        </w:tc>
        <w:tc>
          <w:tcPr>
            <w:tcW w:type="dxa" w:w="1900"/>
            <w:shd w:fill="F4F8FC" w:val="clear"/>
            <w:tcMar>
              <w:top w:type="dxa" w:w="70"/>
              <w:left w:type="dxa" w:w="100"/>
              <w:bottom w:type="dxa" w:w="70"/>
              <w:right w:type="dxa" w:w="100"/>
            </w:tcMar>
          </w:tcPr>
          <w:p>
            <w:pPr>
              <w:spacing w:after="0"/>
            </w:pPr>
            <w:r>
              <w:rPr>
                <w:color w:val="2A2A2A"/>
                <w:sz w:val="17"/>
                <w:szCs w:val="17"/>
              </w:rPr>
              <w:t xml:space="preserve">High</w:t>
            </w:r>
          </w:p>
        </w:tc>
        <w:tc>
          <w:tcPr>
            <w:tcW w:type="dxa" w:w="2460"/>
            <w:shd w:fill="F4F8FC" w:val="clear"/>
            <w:tcMar>
              <w:top w:type="dxa" w:w="70"/>
              <w:left w:type="dxa" w:w="100"/>
              <w:bottom w:type="dxa" w:w="70"/>
              <w:right w:type="dxa" w:w="100"/>
            </w:tcMar>
          </w:tcPr>
          <w:p>
            <w:pPr>
              <w:spacing w:after="0"/>
            </w:pPr>
            <w:r>
              <w:rPr>
                <w:color w:val="2A2A2A"/>
                <w:sz w:val="17"/>
                <w:szCs w:val="17"/>
              </w:rPr>
              <w:t xml:space="preserve">One column + index</w:t>
            </w:r>
          </w:p>
        </w:tc>
      </w:tr>
      <w:tr>
        <w:tc>
          <w:tcPr>
            <w:tcW w:type="dxa" w:w="600"/>
            <w:shd w:fill="FFFFFF" w:val="clear"/>
            <w:tcMar>
              <w:top w:type="dxa" w:w="70"/>
              <w:left w:type="dxa" w:w="100"/>
              <w:bottom w:type="dxa" w:w="70"/>
              <w:right w:type="dxa" w:w="100"/>
            </w:tcMar>
          </w:tcPr>
          <w:p>
            <w:pPr>
              <w:spacing w:after="0"/>
            </w:pPr>
            <w:r>
              <w:rPr>
                <w:color w:val="2A2A2A"/>
                <w:sz w:val="17"/>
                <w:szCs w:val="17"/>
              </w:rPr>
              <w:t xml:space="preserve">4.2</w:t>
            </w:r>
          </w:p>
        </w:tc>
        <w:tc>
          <w:tcPr>
            <w:tcW w:type="dxa" w:w="4400"/>
            <w:shd w:fill="FFFFFF" w:val="clear"/>
            <w:tcMar>
              <w:top w:type="dxa" w:w="70"/>
              <w:left w:type="dxa" w:w="100"/>
              <w:bottom w:type="dxa" w:w="70"/>
              <w:right w:type="dxa" w:w="100"/>
            </w:tcMar>
          </w:tcPr>
          <w:p>
            <w:pPr>
              <w:spacing w:after="0"/>
            </w:pPr>
            <w:r>
              <w:rPr>
                <w:color w:val="2A2A2A"/>
                <w:sz w:val="17"/>
                <w:szCs w:val="17"/>
              </w:rPr>
              <w:t xml:space="preserve">Webex trigger URL unauthenticated</w:t>
            </w:r>
          </w:p>
        </w:tc>
        <w:tc>
          <w:tcPr>
            <w:tcW w:type="dxa" w:w="1900"/>
            <w:shd w:fill="FFFFFF" w:val="clear"/>
            <w:tcMar>
              <w:top w:type="dxa" w:w="70"/>
              <w:left w:type="dxa" w:w="100"/>
              <w:bottom w:type="dxa" w:w="70"/>
              <w:right w:type="dxa" w:w="100"/>
            </w:tcMar>
          </w:tcPr>
          <w:p>
            <w:pPr>
              <w:spacing w:after="0"/>
            </w:pPr>
            <w:r>
              <w:rPr>
                <w:color w:val="2A2A2A"/>
                <w:sz w:val="17"/>
                <w:szCs w:val="17"/>
              </w:rPr>
              <w:t xml:space="preserve">High</w:t>
            </w:r>
          </w:p>
        </w:tc>
        <w:tc>
          <w:tcPr>
            <w:tcW w:type="dxa" w:w="2460"/>
            <w:shd w:fill="FFFFFF" w:val="clear"/>
            <w:tcMar>
              <w:top w:type="dxa" w:w="70"/>
              <w:left w:type="dxa" w:w="100"/>
              <w:bottom w:type="dxa" w:w="70"/>
              <w:right w:type="dxa" w:w="100"/>
            </w:tcMar>
          </w:tcPr>
          <w:p>
            <w:pPr>
              <w:spacing w:after="0"/>
            </w:pPr>
            <w:r>
              <w:rPr>
                <w:color w:val="2A2A2A"/>
                <w:sz w:val="17"/>
                <w:szCs w:val="17"/>
              </w:rPr>
              <w:t xml:space="preserve">Configuration</w:t>
            </w:r>
          </w:p>
        </w:tc>
      </w:tr>
      <w:tr>
        <w:tc>
          <w:tcPr>
            <w:tcW w:type="dxa" w:w="600"/>
            <w:shd w:fill="F4F8FC" w:val="clear"/>
            <w:tcMar>
              <w:top w:type="dxa" w:w="70"/>
              <w:left w:type="dxa" w:w="100"/>
              <w:bottom w:type="dxa" w:w="70"/>
              <w:right w:type="dxa" w:w="100"/>
            </w:tcMar>
          </w:tcPr>
          <w:p>
            <w:pPr>
              <w:spacing w:after="0"/>
            </w:pPr>
            <w:r>
              <w:rPr>
                <w:color w:val="2A2A2A"/>
                <w:sz w:val="17"/>
                <w:szCs w:val="17"/>
              </w:rPr>
              <w:t xml:space="preserve">4.3</w:t>
            </w:r>
          </w:p>
        </w:tc>
        <w:tc>
          <w:tcPr>
            <w:tcW w:type="dxa" w:w="4400"/>
            <w:shd w:fill="F4F8FC" w:val="clear"/>
            <w:tcMar>
              <w:top w:type="dxa" w:w="70"/>
              <w:left w:type="dxa" w:w="100"/>
              <w:bottom w:type="dxa" w:w="70"/>
              <w:right w:type="dxa" w:w="100"/>
            </w:tcMar>
          </w:tcPr>
          <w:p>
            <w:pPr>
              <w:spacing w:after="0"/>
            </w:pPr>
            <w:r>
              <w:rPr>
                <w:color w:val="2A2A2A"/>
                <w:sz w:val="17"/>
                <w:szCs w:val="17"/>
              </w:rPr>
              <w:t xml:space="preserve">No delivery receipts arriving</w:t>
            </w:r>
          </w:p>
        </w:tc>
        <w:tc>
          <w:tcPr>
            <w:tcW w:type="dxa" w:w="1900"/>
            <w:shd w:fill="F4F8FC" w:val="clear"/>
            <w:tcMar>
              <w:top w:type="dxa" w:w="70"/>
              <w:left w:type="dxa" w:w="100"/>
              <w:bottom w:type="dxa" w:w="70"/>
              <w:right w:type="dxa" w:w="100"/>
            </w:tcMar>
          </w:tcPr>
          <w:p>
            <w:pPr>
              <w:spacing w:after="0"/>
            </w:pPr>
            <w:r>
              <w:rPr>
                <w:color w:val="2A2A2A"/>
                <w:sz w:val="17"/>
                <w:szCs w:val="17"/>
              </w:rPr>
              <w:t xml:space="preserve">High</w:t>
            </w:r>
          </w:p>
        </w:tc>
        <w:tc>
          <w:tcPr>
            <w:tcW w:type="dxa" w:w="2460"/>
            <w:shd w:fill="F4F8FC" w:val="clear"/>
            <w:tcMar>
              <w:top w:type="dxa" w:w="70"/>
              <w:left w:type="dxa" w:w="100"/>
              <w:bottom w:type="dxa" w:w="70"/>
              <w:right w:type="dxa" w:w="100"/>
            </w:tcMar>
          </w:tcPr>
          <w:p>
            <w:pPr>
              <w:spacing w:after="0"/>
            </w:pPr>
            <w:r>
              <w:rPr>
                <w:color w:val="2A2A2A"/>
                <w:sz w:val="17"/>
                <w:szCs w:val="17"/>
              </w:rPr>
              <w:t xml:space="preserve">Configuration</w:t>
            </w:r>
          </w:p>
        </w:tc>
      </w:tr>
      <w:tr>
        <w:tc>
          <w:tcPr>
            <w:tcW w:type="dxa" w:w="600"/>
            <w:shd w:fill="FFFFFF" w:val="clear"/>
            <w:tcMar>
              <w:top w:type="dxa" w:w="70"/>
              <w:left w:type="dxa" w:w="100"/>
              <w:bottom w:type="dxa" w:w="70"/>
              <w:right w:type="dxa" w:w="100"/>
            </w:tcMar>
          </w:tcPr>
          <w:p>
            <w:pPr>
              <w:spacing w:after="0"/>
            </w:pPr>
            <w:r>
              <w:rPr>
                <w:color w:val="2A2A2A"/>
                <w:sz w:val="17"/>
                <w:szCs w:val="17"/>
              </w:rPr>
              <w:t xml:space="preserve">4.4</w:t>
            </w:r>
          </w:p>
        </w:tc>
        <w:tc>
          <w:tcPr>
            <w:tcW w:type="dxa" w:w="4400"/>
            <w:shd w:fill="FFFFFF" w:val="clear"/>
            <w:tcMar>
              <w:top w:type="dxa" w:w="70"/>
              <w:left w:type="dxa" w:w="100"/>
              <w:bottom w:type="dxa" w:w="70"/>
              <w:right w:type="dxa" w:w="100"/>
            </w:tcMar>
          </w:tcPr>
          <w:p>
            <w:pPr>
              <w:spacing w:after="0"/>
            </w:pPr>
            <w:r>
              <w:rPr>
                <w:color w:val="2A2A2A"/>
                <w:sz w:val="17"/>
                <w:szCs w:val="17"/>
              </w:rPr>
              <w:t xml:space="preserve">Consent not wired, Florida unenforceable</w:t>
            </w:r>
          </w:p>
        </w:tc>
        <w:tc>
          <w:tcPr>
            <w:tcW w:type="dxa" w:w="1900"/>
            <w:shd w:fill="FFFFFF" w:val="clear"/>
            <w:tcMar>
              <w:top w:type="dxa" w:w="70"/>
              <w:left w:type="dxa" w:w="100"/>
              <w:bottom w:type="dxa" w:w="70"/>
              <w:right w:type="dxa" w:w="100"/>
            </w:tcMar>
          </w:tcPr>
          <w:p>
            <w:pPr>
              <w:spacing w:after="0"/>
            </w:pPr>
            <w:r>
              <w:rPr>
                <w:color w:val="2A2A2A"/>
                <w:sz w:val="17"/>
                <w:szCs w:val="17"/>
              </w:rPr>
              <w:t xml:space="preserve">High</w:t>
            </w:r>
          </w:p>
        </w:tc>
        <w:tc>
          <w:tcPr>
            <w:tcW w:type="dxa" w:w="2460"/>
            <w:shd w:fill="FFFFFF" w:val="clear"/>
            <w:tcMar>
              <w:top w:type="dxa" w:w="70"/>
              <w:left w:type="dxa" w:w="100"/>
              <w:bottom w:type="dxa" w:w="70"/>
              <w:right w:type="dxa" w:w="100"/>
            </w:tcMar>
          </w:tcPr>
          <w:p>
            <w:pPr>
              <w:spacing w:after="0"/>
            </w:pPr>
            <w:r>
              <w:rPr>
                <w:color w:val="2A2A2A"/>
                <w:sz w:val="17"/>
                <w:szCs w:val="17"/>
              </w:rPr>
              <w:t xml:space="preserve">Depends on source</w:t>
            </w:r>
          </w:p>
        </w:tc>
      </w:tr>
      <w:tr>
        <w:tc>
          <w:tcPr>
            <w:tcW w:type="dxa" w:w="600"/>
            <w:shd w:fill="F4F8FC" w:val="clear"/>
            <w:tcMar>
              <w:top w:type="dxa" w:w="70"/>
              <w:left w:type="dxa" w:w="100"/>
              <w:bottom w:type="dxa" w:w="70"/>
              <w:right w:type="dxa" w:w="100"/>
            </w:tcMar>
          </w:tcPr>
          <w:p>
            <w:pPr>
              <w:spacing w:after="0"/>
            </w:pPr>
            <w:r>
              <w:rPr>
                <w:color w:val="2A2A2A"/>
                <w:sz w:val="17"/>
                <w:szCs w:val="17"/>
              </w:rPr>
              <w:t xml:space="preserve">4.5</w:t>
            </w:r>
          </w:p>
        </w:tc>
        <w:tc>
          <w:tcPr>
            <w:tcW w:type="dxa" w:w="4400"/>
            <w:shd w:fill="F4F8FC" w:val="clear"/>
            <w:tcMar>
              <w:top w:type="dxa" w:w="70"/>
              <w:left w:type="dxa" w:w="100"/>
              <w:bottom w:type="dxa" w:w="70"/>
              <w:right w:type="dxa" w:w="100"/>
            </w:tcMar>
          </w:tcPr>
          <w:p>
            <w:pPr>
              <w:spacing w:after="0"/>
            </w:pPr>
            <w:r>
              <w:rPr>
                <w:color w:val="2A2A2A"/>
                <w:sz w:val="17"/>
                <w:szCs w:val="17"/>
              </w:rPr>
              <w:t xml:space="preserve">RuleParameter mapping appears incorrect</w:t>
            </w:r>
          </w:p>
        </w:tc>
        <w:tc>
          <w:tcPr>
            <w:tcW w:type="dxa" w:w="1900"/>
            <w:shd w:fill="F4F8FC" w:val="clear"/>
            <w:tcMar>
              <w:top w:type="dxa" w:w="70"/>
              <w:left w:type="dxa" w:w="100"/>
              <w:bottom w:type="dxa" w:w="70"/>
              <w:right w:type="dxa" w:w="100"/>
            </w:tcMar>
          </w:tcPr>
          <w:p>
            <w:pPr>
              <w:spacing w:after="0"/>
            </w:pPr>
            <w:r>
              <w:rPr>
                <w:color w:val="2A2A2A"/>
                <w:sz w:val="17"/>
                <w:szCs w:val="17"/>
              </w:rPr>
              <w:t xml:space="preserve">Medium</w:t>
            </w:r>
          </w:p>
        </w:tc>
        <w:tc>
          <w:tcPr>
            <w:tcW w:type="dxa" w:w="2460"/>
            <w:shd w:fill="F4F8FC" w:val="clear"/>
            <w:tcMar>
              <w:top w:type="dxa" w:w="70"/>
              <w:left w:type="dxa" w:w="100"/>
              <w:bottom w:type="dxa" w:w="70"/>
              <w:right w:type="dxa" w:w="100"/>
            </w:tcMar>
          </w:tcPr>
          <w:p>
            <w:pPr>
              <w:spacing w:after="0"/>
            </w:pPr>
            <w:r>
              <w:rPr>
                <w:color w:val="2A2A2A"/>
                <w:sz w:val="17"/>
                <w:szCs w:val="17"/>
              </w:rPr>
              <w:t xml:space="preserve">Data fix</w:t>
            </w:r>
          </w:p>
        </w:tc>
      </w:tr>
      <w:tr>
        <w:tc>
          <w:tcPr>
            <w:tcW w:type="dxa" w:w="600"/>
            <w:shd w:fill="FFFFFF" w:val="clear"/>
            <w:tcMar>
              <w:top w:type="dxa" w:w="70"/>
              <w:left w:type="dxa" w:w="100"/>
              <w:bottom w:type="dxa" w:w="70"/>
              <w:right w:type="dxa" w:w="100"/>
            </w:tcMar>
          </w:tcPr>
          <w:p>
            <w:pPr>
              <w:spacing w:after="0"/>
            </w:pPr>
            <w:r>
              <w:rPr>
                <w:color w:val="2A2A2A"/>
                <w:sz w:val="17"/>
                <w:szCs w:val="17"/>
              </w:rPr>
              <w:t xml:space="preserve">4.6</w:t>
            </w:r>
          </w:p>
        </w:tc>
        <w:tc>
          <w:tcPr>
            <w:tcW w:type="dxa" w:w="4400"/>
            <w:shd w:fill="FFFFFF" w:val="clear"/>
            <w:tcMar>
              <w:top w:type="dxa" w:w="70"/>
              <w:left w:type="dxa" w:w="100"/>
              <w:bottom w:type="dxa" w:w="70"/>
              <w:right w:type="dxa" w:w="100"/>
            </w:tcMar>
          </w:tcPr>
          <w:p>
            <w:pPr>
              <w:spacing w:after="0"/>
            </w:pPr>
            <w:r>
              <w:rPr>
                <w:color w:val="2A2A2A"/>
                <w:sz w:val="17"/>
                <w:szCs w:val="17"/>
              </w:rPr>
              <w:t xml:space="preserve">No status value for deferred messages</w:t>
            </w:r>
          </w:p>
        </w:tc>
        <w:tc>
          <w:tcPr>
            <w:tcW w:type="dxa" w:w="1900"/>
            <w:shd w:fill="FFFFFF" w:val="clear"/>
            <w:tcMar>
              <w:top w:type="dxa" w:w="70"/>
              <w:left w:type="dxa" w:w="100"/>
              <w:bottom w:type="dxa" w:w="70"/>
              <w:right w:type="dxa" w:w="100"/>
            </w:tcMar>
          </w:tcPr>
          <w:p>
            <w:pPr>
              <w:spacing w:after="0"/>
            </w:pPr>
            <w:r>
              <w:rPr>
                <w:color w:val="2A2A2A"/>
                <w:sz w:val="17"/>
                <w:szCs w:val="17"/>
              </w:rPr>
              <w:t xml:space="preserve">Medium</w:t>
            </w:r>
          </w:p>
        </w:tc>
        <w:tc>
          <w:tcPr>
            <w:tcW w:type="dxa" w:w="2460"/>
            <w:shd w:fill="FFFFFF" w:val="clear"/>
            <w:tcMar>
              <w:top w:type="dxa" w:w="70"/>
              <w:left w:type="dxa" w:w="100"/>
              <w:bottom w:type="dxa" w:w="70"/>
              <w:right w:type="dxa" w:w="100"/>
            </w:tcMar>
          </w:tcPr>
          <w:p>
            <w:pPr>
              <w:spacing w:after="0"/>
            </w:pPr>
            <w:r>
              <w:rPr>
                <w:color w:val="2A2A2A"/>
                <w:sz w:val="17"/>
                <w:szCs w:val="17"/>
              </w:rPr>
              <w:t xml:space="preserve">One lookup row + column</w:t>
            </w:r>
          </w:p>
        </w:tc>
      </w:tr>
      <w:tr>
        <w:tc>
          <w:tcPr>
            <w:tcW w:type="dxa" w:w="600"/>
            <w:shd w:fill="F4F8FC" w:val="clear"/>
            <w:tcMar>
              <w:top w:type="dxa" w:w="70"/>
              <w:left w:type="dxa" w:w="100"/>
              <w:bottom w:type="dxa" w:w="70"/>
              <w:right w:type="dxa" w:w="100"/>
            </w:tcMar>
          </w:tcPr>
          <w:p>
            <w:pPr>
              <w:spacing w:after="0"/>
            </w:pPr>
            <w:r>
              <w:rPr>
                <w:color w:val="2A2A2A"/>
                <w:sz w:val="17"/>
                <w:szCs w:val="17"/>
              </w:rPr>
              <w:t xml:space="preserve">4.7</w:t>
            </w:r>
          </w:p>
        </w:tc>
        <w:tc>
          <w:tcPr>
            <w:tcW w:type="dxa" w:w="4400"/>
            <w:shd w:fill="F4F8FC" w:val="clear"/>
            <w:tcMar>
              <w:top w:type="dxa" w:w="70"/>
              <w:left w:type="dxa" w:w="100"/>
              <w:bottom w:type="dxa" w:w="70"/>
              <w:right w:type="dxa" w:w="100"/>
            </w:tcMar>
          </w:tcPr>
          <w:p>
            <w:pPr>
              <w:spacing w:after="0"/>
            </w:pPr>
            <w:r>
              <w:rPr>
                <w:color w:val="2A2A2A"/>
                <w:sz w:val="17"/>
                <w:szCs w:val="17"/>
              </w:rPr>
              <w:t xml:space="preserve">No column for provider message id</w:t>
            </w:r>
          </w:p>
        </w:tc>
        <w:tc>
          <w:tcPr>
            <w:tcW w:type="dxa" w:w="1900"/>
            <w:shd w:fill="F4F8FC" w:val="clear"/>
            <w:tcMar>
              <w:top w:type="dxa" w:w="70"/>
              <w:left w:type="dxa" w:w="100"/>
              <w:bottom w:type="dxa" w:w="70"/>
              <w:right w:type="dxa" w:w="100"/>
            </w:tcMar>
          </w:tcPr>
          <w:p>
            <w:pPr>
              <w:spacing w:after="0"/>
            </w:pPr>
            <w:r>
              <w:rPr>
                <w:color w:val="2A2A2A"/>
                <w:sz w:val="17"/>
                <w:szCs w:val="17"/>
              </w:rPr>
              <w:t xml:space="preserve">Medium</w:t>
            </w:r>
          </w:p>
        </w:tc>
        <w:tc>
          <w:tcPr>
            <w:tcW w:type="dxa" w:w="2460"/>
            <w:shd w:fill="F4F8FC" w:val="clear"/>
            <w:tcMar>
              <w:top w:type="dxa" w:w="70"/>
              <w:left w:type="dxa" w:w="100"/>
              <w:bottom w:type="dxa" w:w="70"/>
              <w:right w:type="dxa" w:w="100"/>
            </w:tcMar>
          </w:tcPr>
          <w:p>
            <w:pPr>
              <w:spacing w:after="0"/>
            </w:pPr>
            <w:r>
              <w:rPr>
                <w:color w:val="2A2A2A"/>
                <w:sz w:val="17"/>
                <w:szCs w:val="17"/>
              </w:rPr>
              <w:t xml:space="preserve">One column</w:t>
            </w:r>
          </w:p>
        </w:tc>
      </w:tr>
      <w:tr>
        <w:tc>
          <w:tcPr>
            <w:tcW w:type="dxa" w:w="600"/>
            <w:shd w:fill="FFFFFF" w:val="clear"/>
            <w:tcMar>
              <w:top w:type="dxa" w:w="70"/>
              <w:left w:type="dxa" w:w="100"/>
              <w:bottom w:type="dxa" w:w="70"/>
              <w:right w:type="dxa" w:w="100"/>
            </w:tcMar>
          </w:tcPr>
          <w:p>
            <w:pPr>
              <w:spacing w:after="0"/>
            </w:pPr>
            <w:r>
              <w:rPr>
                <w:color w:val="2A2A2A"/>
                <w:sz w:val="17"/>
                <w:szCs w:val="17"/>
              </w:rPr>
              <w:t xml:space="preserve">4.8</w:t>
            </w:r>
          </w:p>
        </w:tc>
        <w:tc>
          <w:tcPr>
            <w:tcW w:type="dxa" w:w="4400"/>
            <w:shd w:fill="FFFFFF" w:val="clear"/>
            <w:tcMar>
              <w:top w:type="dxa" w:w="70"/>
              <w:left w:type="dxa" w:w="100"/>
              <w:bottom w:type="dxa" w:w="70"/>
              <w:right w:type="dxa" w:w="100"/>
            </w:tcMar>
          </w:tcPr>
          <w:p>
            <w:pPr>
              <w:spacing w:after="0"/>
            </w:pPr>
            <w:r>
              <w:rPr>
                <w:color w:val="2A2A2A"/>
                <w:sz w:val="17"/>
                <w:szCs w:val="17"/>
              </w:rPr>
              <w:t xml:space="preserve">Message length understated</w:t>
            </w:r>
          </w:p>
        </w:tc>
        <w:tc>
          <w:tcPr>
            <w:tcW w:type="dxa" w:w="1900"/>
            <w:shd w:fill="FFFFFF" w:val="clear"/>
            <w:tcMar>
              <w:top w:type="dxa" w:w="70"/>
              <w:left w:type="dxa" w:w="100"/>
              <w:bottom w:type="dxa" w:w="70"/>
              <w:right w:type="dxa" w:w="100"/>
            </w:tcMar>
          </w:tcPr>
          <w:p>
            <w:pPr>
              <w:spacing w:after="0"/>
            </w:pPr>
            <w:r>
              <w:rPr>
                <w:color w:val="2A2A2A"/>
                <w:sz w:val="17"/>
                <w:szCs w:val="17"/>
              </w:rPr>
              <w:t xml:space="preserve">Medium</w:t>
            </w:r>
          </w:p>
        </w:tc>
        <w:tc>
          <w:tcPr>
            <w:tcW w:type="dxa" w:w="2460"/>
            <w:shd w:fill="FFFFFF" w:val="clear"/>
            <w:tcMar>
              <w:top w:type="dxa" w:w="70"/>
              <w:left w:type="dxa" w:w="100"/>
              <w:bottom w:type="dxa" w:w="70"/>
              <w:right w:type="dxa" w:w="100"/>
            </w:tcMar>
          </w:tcPr>
          <w:p>
            <w:pPr>
              <w:spacing w:after="0"/>
            </w:pPr>
            <w:r>
              <w:rPr>
                <w:color w:val="2A2A2A"/>
                <w:sz w:val="17"/>
                <w:szCs w:val="17"/>
              </w:rPr>
              <w:t xml:space="preserve">Template guidance</w:t>
            </w:r>
          </w:p>
        </w:tc>
      </w:tr>
    </w:tbl>
    <w:p>
      <w:pPr>
        <w:pStyle w:val="Heading2"/>
        <w:spacing w:after="110" w:before="230"/>
      </w:pPr>
      <w:r>
        <w:rPr>
          <w:b/>
          <w:bCs/>
          <w:color w:val="2E5E8C"/>
          <w:sz w:val="25"/>
          <w:szCs w:val="25"/>
        </w:rPr>
        <w:t xml:space="preserve">4.1 Nothing prevents the same message being sent twice</w:t>
      </w:r>
    </w:p>
    <w:p>
      <w:pPr>
        <w:spacing w:after="120" w:line="276"/>
      </w:pPr>
      <w:r>
        <w:rPr>
          <w:color w:val="222222"/>
          <w:sz w:val="21"/>
          <w:szCs w:val="21"/>
        </w:rPr>
        <w:t xml:space="preserve">There is no unique key on SMS_Queue_Detail identifying a logical message, so the same recipient can receive the same message more than once through several ordinary routes:</w:t>
      </w:r>
    </w:p>
    <w:p>
      <w:pPr>
        <w:pStyle w:val="ListParagraph"/>
        <w:numPr>
          <w:ilvl w:val="0"/>
          <w:numId w:val="2"/>
        </w:numPr>
        <w:spacing w:after="60" w:line="264"/>
      </w:pPr>
      <w:r>
        <w:rPr>
          <w:color w:val="222222"/>
          <w:sz w:val="21"/>
          <w:szCs w:val="21"/>
        </w:rPr>
        <w:t xml:space="preserve">The delivery service sends successfully, then fails before recording the outcome. On retry it sends again.</w:t>
      </w:r>
    </w:p>
    <w:p>
      <w:pPr>
        <w:pStyle w:val="ListParagraph"/>
        <w:numPr>
          <w:ilvl w:val="0"/>
          <w:numId w:val="2"/>
        </w:numPr>
        <w:spacing w:after="60" w:line="264"/>
      </w:pPr>
      <w:r>
        <w:rPr>
          <w:color w:val="222222"/>
          <w:sz w:val="21"/>
          <w:szCs w:val="21"/>
        </w:rPr>
        <w:t xml:space="preserve">A campaign generation is re-run after a partial failure.</w:t>
      </w:r>
    </w:p>
    <w:p>
      <w:pPr>
        <w:pStyle w:val="ListParagraph"/>
        <w:numPr>
          <w:ilvl w:val="0"/>
          <w:numId w:val="2"/>
        </w:numPr>
        <w:spacing w:after="60" w:line="264"/>
      </w:pPr>
      <w:r>
        <w:rPr>
          <w:color w:val="222222"/>
          <w:sz w:val="21"/>
          <w:szCs w:val="21"/>
        </w:rPr>
        <w:t xml:space="preserve">If message passing is introduced later, at-least-once delivery makes redelivery normal rather than exceptional.</w:t>
      </w:r>
    </w:p>
    <w:tbl>
      <w:tblPr>
        <w:tblW w:type="pct" w:w="100%"/>
        <w:tblBorders>
          <w:top w:val="single" w:color="B23A3A" w:sz="6"/>
          <w:left w:val="single" w:color="B23A3A" w:sz="24"/>
          <w:bottom w:val="single" w:color="B23A3A" w:sz="6"/>
          <w:right w:val="single" w:color="B23A3A" w:sz="6"/>
          <w:insideH w:val="none"/>
          <w:insideV w:val="none"/>
        </w:tblBorders>
      </w:tblPr>
      <w:tblGrid>
        <w:gridCol w:w="9360"/>
      </w:tblGrid>
      <w:tr>
        <w:tc>
          <w:tcPr>
            <w:tcW w:type="dxa" w:w="9360"/>
            <w:shd w:fill="F6E4E4" w:val="clear"/>
            <w:tcMar>
              <w:top w:type="dxa" w:w="120"/>
              <w:left w:type="dxa" w:w="160"/>
              <w:bottom w:type="dxa" w:w="120"/>
              <w:right w:type="dxa" w:w="160"/>
            </w:tcMar>
          </w:tcPr>
          <w:p>
            <w:pPr>
              <w:spacing w:after="60"/>
            </w:pPr>
            <w:r>
              <w:rPr>
                <w:b/>
                <w:bCs/>
                <w:color w:val="B23A3A"/>
                <w:sz w:val="21"/>
                <w:szCs w:val="21"/>
              </w:rPr>
              <w:t xml:space="preserve">Why this is worth doing now</w:t>
            </w:r>
          </w:p>
          <w:p>
            <w:pPr>
              <w:spacing w:after="40"/>
            </w:pPr>
            <w:r>
              <w:rPr>
                <w:color w:val="333333"/>
                <w:sz w:val="20"/>
                <w:szCs w:val="20"/>
              </w:rPr>
              <w:t xml:space="preserve">The fix is a deterministic key — a hash of campaign run, account, template version and normalised phone — stored with a UNIQUE constraint. Creating the same logical message twice then fails at the database instead of becoming a second text.</w:t>
            </w:r>
          </w:p>
          <w:p>
            <w:pPr>
              <w:spacing w:after="40"/>
            </w:pPr>
            <w:r>
              <w:rPr>
                <w:color w:val="333333"/>
                <w:sz w:val="20"/>
                <w:szCs w:val="20"/>
              </w:rPr>
              <w:t xml:space="preserve">Today that is one column and one index on a table still being built. After go-live it is a migration against a table with millions of rows, plus whatever went out in the meantime.</w:t>
            </w:r>
          </w:p>
          <w:p>
            <w:pPr>
              <w:spacing w:after="40"/>
            </w:pPr>
            <w:r>
              <w:rPr>
                <w:color w:val="333333"/>
                <w:sz w:val="20"/>
                <w:szCs w:val="20"/>
              </w:rPr>
              <w:t xml:space="preserve">It also directly reduces the exposure under the per-recipient limits in State_TCPA_Rules. A duplicate is not only an annoyance; in Florida, where the limit is one message per thirty days, a single duplicate is a breach.</w:t>
            </w:r>
          </w:p>
        </w:tc>
      </w:tr>
    </w:tbl>
    <w:p>
      <w:pPr>
        <w:spacing w:after="120" w:line="276"/>
      </w:pPr>
      <w:r>
        <w:rPr>
          <w:i/>
          <w:iCs/>
          <w:color w:val="5A6672"/>
          <w:sz w:val="21"/>
          <w:szCs w:val="21"/>
        </w:rPr>
        <w:t xml:space="preserve">Worth asking Webex whether their API accepts a client-supplied idempotency key. The SMS node has a Correlation ID field that is currently unused. If Connect deduplicates on it, passing our key closes the remaining window — the case where we sent successfully but never learned that we did. Sending the same Correlation ID twice and counting the messages received answers this in a few minutes.</w:t>
      </w:r>
    </w:p>
    <w:p>
      <w:pPr>
        <w:pStyle w:val="Heading2"/>
        <w:spacing w:after="110" w:before="230"/>
      </w:pPr>
      <w:r>
        <w:rPr>
          <w:b/>
          <w:bCs/>
          <w:color w:val="2E5E8C"/>
          <w:sz w:val="25"/>
          <w:szCs w:val="25"/>
        </w:rPr>
        <w:t xml:space="preserve">4.2 The Webex trigger URL has no authentication</w:t>
      </w:r>
    </w:p>
    <w:p>
      <w:pPr>
        <w:spacing w:after="120" w:line="276"/>
      </w:pPr>
      <w:r>
        <w:rPr>
          <w:color w:val="222222"/>
          <w:sz w:val="21"/>
          <w:szCs w:val="21"/>
        </w:rPr>
        <w:t xml:space="preserve">In the Connect flow, both “Validate signature” and the service-key option are switched off. The trigger URL is therefore the only credential protecting the channel. Anyone holding it can send arbitrary text, from the registered business number, to any number, in any volume.</w:t>
      </w:r>
    </w:p>
    <w:p>
      <w:pPr>
        <w:spacing w:after="120" w:line="276"/>
      </w:pPr>
      <w:r>
        <w:rPr>
          <w:color w:val="222222"/>
          <w:sz w:val="21"/>
          <w:szCs w:val="21"/>
        </w:rPr>
        <w:t xml:space="preserve">URLs spread. This one already exists in request-tool history and in screenshots, and will end up in configuration files and logs. Connect supports SHA256 signature validation in the same dialog; enabling it is a checkbox and a shared secret.</w:t>
      </w:r>
    </w:p>
    <w:p>
      <w:pPr>
        <w:pStyle w:val="Heading2"/>
        <w:spacing w:after="110" w:before="230"/>
      </w:pPr>
      <w:r>
        <w:rPr>
          <w:b/>
          <w:bCs/>
          <w:color w:val="2E5E8C"/>
          <w:sz w:val="25"/>
          <w:szCs w:val="25"/>
        </w:rPr>
        <w:t xml:space="preserve">4.3 No delivery receipts are being received</w:t>
      </w:r>
    </w:p>
    <w:p>
      <w:pPr>
        <w:spacing w:after="120" w:line="276"/>
      </w:pPr>
      <w:r>
        <w:rPr>
          <w:color w:val="222222"/>
          <w:sz w:val="21"/>
          <w:szCs w:val="21"/>
        </w:rPr>
        <w:t xml:space="preserve">The Notify URL field on the SMS node is empty. That is where Connect posts delivery status, so at present the system learns that a message was queued and nothing after that — no delivered, no failed, no carrier rejection.</w:t>
      </w:r>
    </w:p>
    <w:p>
      <w:pPr>
        <w:spacing w:after="120" w:line="276"/>
      </w:pPr>
      <w:r>
        <w:rPr>
          <w:color w:val="222222"/>
          <w:sz w:val="21"/>
          <w:szCs w:val="21"/>
        </w:rPr>
        <w:t xml:space="preserve">This is the concrete blocker for the status service, and it is a configuration field rather than a build task. There is an accompanying authorisation option that should be enabled at the same time so the receiving endpoint is not itself open.</w:t>
      </w:r>
    </w:p>
    <w:tbl>
      <w:tblPr>
        <w:tblW w:type="pct" w:w="100%"/>
        <w:tblBorders>
          <w:top w:val="single" w:color="B7791F" w:sz="6"/>
          <w:left w:val="single" w:color="B7791F" w:sz="24"/>
          <w:bottom w:val="single" w:color="B7791F" w:sz="6"/>
          <w:right w:val="single" w:color="B7791F" w:sz="6"/>
          <w:insideH w:val="none"/>
          <w:insideV w:val="none"/>
        </w:tblBorders>
      </w:tblPr>
      <w:tblGrid>
        <w:gridCol w:w="9360"/>
      </w:tblGrid>
      <w:tr>
        <w:tc>
          <w:tcPr>
            <w:tcW w:type="dxa" w:w="9360"/>
            <w:shd w:fill="FBF3E4" w:val="clear"/>
            <w:tcMar>
              <w:top w:type="dxa" w:w="120"/>
              <w:left w:type="dxa" w:w="160"/>
              <w:bottom w:type="dxa" w:w="120"/>
              <w:right w:type="dxa" w:w="160"/>
            </w:tcMar>
          </w:tcPr>
          <w:p>
            <w:pPr>
              <w:spacing w:after="60"/>
            </w:pPr>
            <w:r>
              <w:rPr>
                <w:b/>
                <w:bCs/>
                <w:color w:val="B7791F"/>
                <w:sz w:val="21"/>
                <w:szCs w:val="21"/>
              </w:rPr>
              <w:t xml:space="preserve">A reporting consequence worth noting</w:t>
            </w:r>
          </w:p>
          <w:p>
            <w:pPr>
              <w:spacing w:after="40"/>
            </w:pPr>
            <w:r>
              <w:rPr>
                <w:color w:val="333333"/>
                <w:sz w:val="20"/>
                <w:szCs w:val="20"/>
              </w:rPr>
              <w:t xml:space="preserve">The Connect response returns code 1002 “Queued”. That confirms Connect accepted the request — not that the carrier accepted it, and not that the handset received it.</w:t>
            </w:r>
          </w:p>
          <w:p>
            <w:pPr>
              <w:spacing w:after="40"/>
            </w:pPr>
            <w:r>
              <w:rPr>
                <w:color w:val="333333"/>
                <w:sz w:val="20"/>
                <w:szCs w:val="20"/>
              </w:rPr>
              <w:t xml:space="preserve">Treating “Queued” as “sent” would overstate delivery in every report produced. Until receipts arrive, delivery rate is not measurable.</w:t>
            </w:r>
          </w:p>
        </w:tc>
      </w:tr>
    </w:tbl>
    <w:p>
      <w:pPr>
        <w:pStyle w:val="Heading2"/>
        <w:spacing w:after="110" w:before="230"/>
      </w:pPr>
      <w:r>
        <w:rPr>
          <w:b/>
          <w:bCs/>
          <w:color w:val="2E5E8C"/>
          <w:sz w:val="25"/>
          <w:szCs w:val="25"/>
        </w:rPr>
        <w:t xml:space="preserve">4.4 Consent is not wired, so the stricter states cannot be enforced</w:t>
      </w:r>
    </w:p>
    <w:p>
      <w:pPr>
        <w:spacing w:after="120" w:line="276"/>
      </w:pPr>
      <w:r>
        <w:rPr>
          <w:color w:val="222222"/>
          <w:sz w:val="21"/>
          <w:szCs w:val="21"/>
        </w:rPr>
        <w:t xml:space="preserve">State_TCPA_Rules distinguishes RequiresExpressConsent from RequiresWrittenConsent. Nothing currently supplies either, which means the distinction cannot be applied.</w:t>
      </w:r>
    </w:p>
    <w:p>
      <w:pPr>
        <w:spacing w:after="120" w:line="276"/>
      </w:pPr>
      <w:r>
        <w:rPr>
          <w:color w:val="222222"/>
          <w:sz w:val="21"/>
          <w:szCs w:val="21"/>
        </w:rPr>
        <w:t xml:space="preserve">Written consent is a higher bar than express consent, not a synonym for it. Someone who ticked a checkbox has given express consent but not written consent. Florida requires the latter, and the Florida Telephone Solicitation Act is actively litigated.</w:t>
      </w:r>
    </w:p>
    <w:p>
      <w:pPr>
        <w:spacing w:after="120" w:line="276"/>
      </w:pPr>
      <w:r>
        <w:rPr>
          <w:color w:val="222222"/>
          <w:sz w:val="21"/>
          <w:szCs w:val="21"/>
        </w:rPr>
        <w:t xml:space="preserve">Two questions follow: where is consent recorded, and is the distinction between express and written captured at all? If it is not, Florida cannot be sent to compliantly regardless of what the rules table says.</w:t>
      </w:r>
    </w:p>
    <w:p>
      <w:pPr>
        <w:pStyle w:val="Heading2"/>
        <w:spacing w:after="110" w:before="230"/>
      </w:pPr>
      <w:r>
        <w:rPr>
          <w:b/>
          <w:bCs/>
          <w:color w:val="2E5E8C"/>
          <w:sz w:val="25"/>
          <w:szCs w:val="25"/>
        </w:rPr>
        <w:t xml:space="preserve">4.5 RuleParameter's rule mapping appears incorrect</w:t>
      </w:r>
    </w:p>
    <w:p>
      <w:pPr>
        <w:spacing w:after="120" w:line="276"/>
      </w:pPr>
      <w:r>
        <w:rPr>
          <w:color w:val="222222"/>
          <w:sz w:val="21"/>
          <w:szCs w:val="21"/>
        </w:rPr>
        <w:t xml:space="preserve">Comparing the two tables:</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SMS_Compliance_Rules            RuleParameter</w:t>
            </w:r>
          </w:p>
          <w:p>
            <w:pPr>
              <w:spacing w:after="20"/>
            </w:pPr>
            <w:r>
              <w:rPr>
                <w:rFonts w:ascii="Consolas" w:cs="Consolas" w:eastAsia="Consolas" w:hAnsi="Consolas"/>
                <w:color w:val="1A1A1A"/>
                <w:sz w:val="17"/>
                <w:szCs w:val="17"/>
              </w:rPr>
              <w:t xml:space="preserve">  1  Monthly_Limit                Rule_ID 1  -&gt;  Start_Time_24hr  0800</w:t>
            </w:r>
          </w:p>
          <w:p>
            <w:pPr>
              <w:spacing w:after="20"/>
            </w:pPr>
            <w:r>
              <w:rPr>
                <w:rFonts w:ascii="Consolas" w:cs="Consolas" w:eastAsia="Consolas" w:hAnsi="Consolas"/>
                <w:color w:val="1A1A1A"/>
                <w:sz w:val="17"/>
                <w:szCs w:val="17"/>
              </w:rPr>
              <w:t xml:space="preserve">  2  Contact_Gap                  Rule_ID 1  -&gt;  End_Time_24hr    2100</w:t>
            </w:r>
          </w:p>
          <w:p>
            <w:pPr>
              <w:spacing w:after="20"/>
            </w:pPr>
            <w:r>
              <w:rPr>
                <w:rFonts w:ascii="Consolas" w:cs="Consolas" w:eastAsia="Consolas" w:hAnsi="Consolas"/>
                <w:color w:val="1A1A1A"/>
                <w:sz w:val="17"/>
                <w:szCs w:val="17"/>
              </w:rPr>
              <w:t xml:space="preserve">  3  OPT_OUT                      Rule_ID 4  -&gt;  Min_Days_Bet...  7</w:t>
            </w:r>
          </w:p>
          <w:p>
            <w:pPr>
              <w:spacing w:after="20"/>
            </w:pPr>
            <w:r>
              <w:rPr>
                <w:rFonts w:ascii="Consolas" w:cs="Consolas" w:eastAsia="Consolas" w:hAnsi="Consolas"/>
                <w:color w:val="1A1A1A"/>
                <w:sz w:val="17"/>
                <w:szCs w:val="17"/>
              </w:rPr>
              <w:t xml:space="preserve">  4  Time_Range                   Rule_ID 2  -&gt;  Max_Days_Pa...   90</w:t>
            </w:r>
          </w:p>
          <w:p>
            <w:pPr>
              <w:spacing w:after="20"/>
            </w:pPr>
            <w:r>
              <w:rPr>
                <w:rFonts w:ascii="Consolas" w:cs="Consolas" w:eastAsia="Consolas" w:hAnsi="Consolas"/>
                <w:color w:val="1A1A1A"/>
                <w:sz w:val="17"/>
                <w:szCs w:val="17"/>
              </w:rPr>
              <w:t xml:space="preserve">  5  Missing_TCPA                 Rule_ID 3  -&gt;  Required_Status  OPT_IN</w:t>
            </w:r>
          </w:p>
        </w:tc>
      </w:tr>
    </w:tbl>
    <w:p>
      <w:pPr>
        <w:spacing w:after="120" w:line="276"/>
      </w:pPr>
      <w:r>
        <w:rPr>
          <w:color w:val="222222"/>
          <w:sz w:val="21"/>
          <w:szCs w:val="21"/>
        </w:rPr>
        <w:t xml:space="preserve">Start and end time are parameters of Time_Range (rule 4) but are attached to Monthly_Limit (rule 1). Minimum days between messages belongs to Contact_Gap (rule 2) but is attached to Time_Range (rule 4). Rules 1 and 4 appear to have been transposed. Only rule 3's parameter clearly matches its rule.</w:t>
      </w:r>
    </w:p>
    <w:p>
      <w:pPr>
        <w:spacing w:after="120" w:line="276"/>
      </w:pPr>
      <w:r>
        <w:rPr>
          <w:color w:val="222222"/>
          <w:sz w:val="21"/>
          <w:szCs w:val="21"/>
        </w:rPr>
        <w:t xml:space="preserve">Anything reading parameters by Rule_ID will read the wrong value. Worth confirming with whoever populated the table before code depends on it.</w:t>
      </w:r>
    </w:p>
    <w:p>
      <w:pPr>
        <w:pStyle w:val="Heading2"/>
        <w:spacing w:after="110" w:before="230"/>
      </w:pPr>
      <w:r>
        <w:rPr>
          <w:b/>
          <w:bCs/>
          <w:color w:val="2E5E8C"/>
          <w:sz w:val="25"/>
          <w:szCs w:val="25"/>
        </w:rPr>
        <w:t xml:space="preserve">4.6 There is no status for a deferred message</w:t>
      </w:r>
    </w:p>
    <w:p>
      <w:pPr>
        <w:spacing w:after="120" w:line="276"/>
      </w:pPr>
      <w:r>
        <w:rPr>
          <w:color w:val="222222"/>
          <w:sz w:val="21"/>
          <w:szCs w:val="21"/>
        </w:rPr>
        <w:t xml:space="preserve">SMSStatus runs Init, BLOCK, Eligible, Queued, Sent, Delivered, Failed. Time_Range has action QUEUE, so deferral is an expected outcome — but a deferred message has nowhere distinct to sit.</w:t>
      </w:r>
    </w:p>
    <w:p>
      <w:pPr>
        <w:pStyle w:val="ListParagraph"/>
        <w:numPr>
          <w:ilvl w:val="0"/>
          <w:numId w:val="2"/>
        </w:numPr>
        <w:spacing w:after="60" w:line="264"/>
      </w:pPr>
      <w:r>
        <w:rPr>
          <w:color w:val="222222"/>
          <w:sz w:val="21"/>
          <w:szCs w:val="21"/>
        </w:rPr>
        <w:t xml:space="preserve">Leaving it at Init makes it indistinguishable from a row never evaluated, so compliance would re-scan the entire backlog on every pass.</w:t>
      </w:r>
    </w:p>
    <w:p>
      <w:pPr>
        <w:pStyle w:val="ListParagraph"/>
        <w:numPr>
          <w:ilvl w:val="0"/>
          <w:numId w:val="2"/>
        </w:numPr>
        <w:spacing w:after="60" w:line="264"/>
      </w:pPr>
      <w:r>
        <w:rPr>
          <w:color w:val="222222"/>
          <w:sz w:val="21"/>
          <w:szCs w:val="21"/>
        </w:rPr>
        <w:t xml:space="preserve">Moving it to Queued risks the delivery service sending it before its window opens, which is the failure the rule exists to prevent.</w:t>
      </w:r>
    </w:p>
    <w:p>
      <w:pPr>
        <w:spacing w:after="120" w:line="276"/>
      </w:pPr>
      <w:r>
        <w:rPr>
          <w:color w:val="222222"/>
          <w:sz w:val="21"/>
          <w:szCs w:val="21"/>
        </w:rPr>
        <w:t xml:space="preserve">Suggested: add a Deferred status and a next-attempt datetime column. The timestamp matters as much as the status — without it, nothing knows when to reconsider the message.</w:t>
      </w:r>
    </w:p>
    <w:p>
      <w:pPr>
        <w:pStyle w:val="Heading2"/>
        <w:spacing w:after="110" w:before="230"/>
      </w:pPr>
      <w:r>
        <w:rPr>
          <w:b/>
          <w:bCs/>
          <w:color w:val="2E5E8C"/>
          <w:sz w:val="25"/>
          <w:szCs w:val="25"/>
        </w:rPr>
        <w:t xml:space="preserve">4.7 No column holds the provider message id</w:t>
      </w:r>
    </w:p>
    <w:p>
      <w:pPr>
        <w:spacing w:after="120" w:line="276"/>
      </w:pPr>
      <w:r>
        <w:rPr>
          <w:color w:val="222222"/>
          <w:sz w:val="21"/>
          <w:szCs w:val="21"/>
        </w:rPr>
        <w:t xml:space="preserve">Connect returns a transid on acceptance. Delivery receipts reference it. SMS_Queue_Detail has ResponseCode and ResponseMessage but nothing that obviously holds it, so receipts cannot be matched back to the message that produced them.</w:t>
      </w:r>
    </w:p>
    <w:p>
      <w:pPr>
        <w:pStyle w:val="Heading2"/>
        <w:spacing w:after="110" w:before="230"/>
      </w:pPr>
      <w:r>
        <w:rPr>
          <w:b/>
          <w:bCs/>
          <w:color w:val="2E5E8C"/>
          <w:sz w:val="25"/>
          <w:szCs w:val="25"/>
        </w:rPr>
        <w:t xml:space="preserve">4.8 Message length is understated</w:t>
      </w:r>
    </w:p>
    <w:p>
      <w:pPr>
        <w:spacing w:after="120" w:line="276"/>
      </w:pPr>
      <w:r>
        <w:rPr>
          <w:color w:val="222222"/>
          <w:sz w:val="21"/>
          <w:szCs w:val="21"/>
        </w:rPr>
        <w:t xml:space="preserve">The Connect flow appends opt-out and help instructions after the message body — approximately eighty characters. A GSM-7 segment is 160 characters, so the usable budget for template text in a single segment is closer to seventy-five.</w:t>
      </w:r>
    </w:p>
    <w:p>
      <w:pPr>
        <w:spacing w:after="120" w:line="276"/>
      </w:pPr>
      <w:r>
        <w:rPr>
          <w:color w:val="222222"/>
          <w:sz w:val="21"/>
          <w:szCs w:val="21"/>
        </w:rPr>
        <w:t xml:space="preserve">A template that appears comfortable at 140 characters goes out at roughly 220, which is two segments, charged separately. On a campaign of several hundred thousand messages that doubles cost invisibly. Any character count shown to whoever writes templates must include the appended text.</w:t>
      </w:r>
    </w:p>
    <w:p>
      <w:pPr>
        <w:spacing w:after="120" w:line="276"/>
      </w:pPr>
      <w:r>
        <w:rPr>
          <w:i/>
          <w:iCs/>
          <w:color w:val="5A6672"/>
          <w:sz w:val="21"/>
          <w:szCs w:val="21"/>
        </w:rPr>
        <w:t xml:space="preserve">A related trap: a single character outside the GSM-7 set — most commonly a curly quotation mark pasted from Word — drops the segment limit from 160 to 70.</w:t>
      </w:r>
    </w:p>
    <w:p>
      <w:r>
        <w:br w:type="page"/>
      </w:r>
    </w:p>
    <w:p>
      <w:pPr>
        <w:pStyle w:val="Heading1"/>
        <w:spacing w:after="150" w:before="300"/>
      </w:pPr>
      <w:r>
        <w:rPr>
          <w:b/>
          <w:bCs/>
          <w:color w:val="1F3A5F"/>
          <w:sz w:val="30"/>
          <w:szCs w:val="30"/>
        </w:rPr>
        <w:t xml:space="preserve">5. Specification: How The Decision Should Work</w:t>
      </w:r>
    </w:p>
    <w:p>
      <w:pPr>
        <w:pStyle w:val="Heading2"/>
        <w:spacing w:after="110" w:before="230"/>
      </w:pPr>
      <w:r>
        <w:rPr>
          <w:b/>
          <w:bCs/>
          <w:color w:val="2E5E8C"/>
          <w:sz w:val="25"/>
          <w:szCs w:val="25"/>
        </w:rPr>
        <w:t xml:space="preserve">5.1 Order of evaluation</w:t>
      </w:r>
    </w:p>
    <w:p>
      <w:pPr>
        <w:spacing w:after="120" w:line="276"/>
      </w:pPr>
      <w:r>
        <w:rPr>
          <w:color w:val="222222"/>
          <w:sz w:val="21"/>
          <w:szCs w:val="21"/>
        </w:rPr>
        <w:t xml:space="preserve">Permanent bars first, timing last. Evaluating timing first would defer a message that should never be sent at all, and it would then sit in the queue appearing legitimate.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700"/>
        <w:gridCol w:w="5400"/>
        <w:gridCol w:w="3260"/>
      </w:tblGrid>
      <w:tr>
        <w:trPr>
          <w:tblHeader/>
        </w:trPr>
        <w:tc>
          <w:tcPr>
            <w:tcW w:type="dxa" w:w="700"/>
            <w:shd w:fill="1F3A5F" w:val="clear"/>
            <w:tcMar>
              <w:top w:type="dxa" w:w="80"/>
              <w:left w:type="dxa" w:w="100"/>
              <w:bottom w:type="dxa" w:w="80"/>
              <w:right w:type="dxa" w:w="100"/>
            </w:tcMar>
          </w:tcPr>
          <w:p>
            <w:r>
              <w:rPr>
                <w:b/>
                <w:bCs/>
                <w:color w:val="FFFFFF"/>
                <w:sz w:val="18"/>
                <w:szCs w:val="18"/>
              </w:rPr>
              <w:t xml:space="preserve">Step</w:t>
            </w:r>
          </w:p>
        </w:tc>
        <w:tc>
          <w:tcPr>
            <w:tcW w:type="dxa" w:w="5400"/>
            <w:shd w:fill="1F3A5F" w:val="clear"/>
            <w:tcMar>
              <w:top w:type="dxa" w:w="80"/>
              <w:left w:type="dxa" w:w="100"/>
              <w:bottom w:type="dxa" w:w="80"/>
              <w:right w:type="dxa" w:w="100"/>
            </w:tcMar>
          </w:tcPr>
          <w:p>
            <w:r>
              <w:rPr>
                <w:b/>
                <w:bCs/>
                <w:color w:val="FFFFFF"/>
                <w:sz w:val="18"/>
                <w:szCs w:val="18"/>
              </w:rPr>
              <w:t xml:space="preserve">Check</w:t>
            </w:r>
          </w:p>
        </w:tc>
        <w:tc>
          <w:tcPr>
            <w:tcW w:type="dxa" w:w="3260"/>
            <w:shd w:fill="1F3A5F" w:val="clear"/>
            <w:tcMar>
              <w:top w:type="dxa" w:w="80"/>
              <w:left w:type="dxa" w:w="100"/>
              <w:bottom w:type="dxa" w:w="80"/>
              <w:right w:type="dxa" w:w="100"/>
            </w:tcMar>
          </w:tcPr>
          <w:p>
            <w:r>
              <w:rPr>
                <w:b/>
                <w:bCs/>
                <w:color w:val="FFFFFF"/>
                <w:sz w:val="18"/>
                <w:szCs w:val="18"/>
              </w:rPr>
              <w:t xml:space="preserve">Outcome</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1</w:t>
            </w:r>
          </w:p>
        </w:tc>
        <w:tc>
          <w:tcPr>
            <w:tcW w:type="dxa" w:w="5400"/>
            <w:shd w:fill="F4F8FC" w:val="clear"/>
            <w:tcMar>
              <w:top w:type="dxa" w:w="70"/>
              <w:left w:type="dxa" w:w="100"/>
              <w:bottom w:type="dxa" w:w="70"/>
              <w:right w:type="dxa" w:w="100"/>
            </w:tcMar>
          </w:tcPr>
          <w:p>
            <w:pPr>
              <w:spacing w:after="0"/>
            </w:pPr>
            <w:r>
              <w:rPr>
                <w:color w:val="2A2A2A"/>
                <w:sz w:val="17"/>
                <w:szCs w:val="17"/>
              </w:rPr>
              <w:t xml:space="preserve">No active rule for the recipient's state</w:t>
            </w:r>
          </w:p>
        </w:tc>
        <w:tc>
          <w:tcPr>
            <w:tcW w:type="dxa" w:w="3260"/>
            <w:shd w:fill="F4F8FC" w:val="clear"/>
            <w:tcMar>
              <w:top w:type="dxa" w:w="70"/>
              <w:left w:type="dxa" w:w="100"/>
              <w:bottom w:type="dxa" w:w="70"/>
              <w:right w:type="dxa" w:w="100"/>
            </w:tcMar>
          </w:tcPr>
          <w:p>
            <w:pPr>
              <w:spacing w:after="0"/>
            </w:pPr>
            <w:r>
              <w:rPr>
                <w:color w:val="2A2A2A"/>
                <w:sz w:val="17"/>
                <w:szCs w:val="17"/>
              </w:rPr>
              <w:t xml:space="preserve">BLOCK (per Missing_TCPA)</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2</w:t>
            </w:r>
          </w:p>
        </w:tc>
        <w:tc>
          <w:tcPr>
            <w:tcW w:type="dxa" w:w="5400"/>
            <w:shd w:fill="FFFFFF" w:val="clear"/>
            <w:tcMar>
              <w:top w:type="dxa" w:w="70"/>
              <w:left w:type="dxa" w:w="100"/>
              <w:bottom w:type="dxa" w:w="70"/>
              <w:right w:type="dxa" w:w="100"/>
            </w:tcMar>
          </w:tcPr>
          <w:p>
            <w:pPr>
              <w:spacing w:after="0"/>
            </w:pPr>
            <w:r>
              <w:rPr>
                <w:color w:val="2A2A2A"/>
                <w:sz w:val="17"/>
                <w:szCs w:val="17"/>
              </w:rPr>
              <w:t xml:space="preserve">State does not permit SMS</w:t>
            </w:r>
          </w:p>
        </w:tc>
        <w:tc>
          <w:tcPr>
            <w:tcW w:type="dxa" w:w="3260"/>
            <w:shd w:fill="FFFFFF" w:val="clear"/>
            <w:tcMar>
              <w:top w:type="dxa" w:w="70"/>
              <w:left w:type="dxa" w:w="100"/>
              <w:bottom w:type="dxa" w:w="70"/>
              <w:right w:type="dxa" w:w="100"/>
            </w:tcMar>
          </w:tcPr>
          <w:p>
            <w:pPr>
              <w:spacing w:after="0"/>
            </w:pPr>
            <w:r>
              <w:rPr>
                <w:color w:val="2A2A2A"/>
                <w:sz w:val="17"/>
                <w:szCs w:val="17"/>
              </w:rPr>
              <w:t xml:space="preserve">BLOCK</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3</w:t>
            </w:r>
          </w:p>
        </w:tc>
        <w:tc>
          <w:tcPr>
            <w:tcW w:type="dxa" w:w="5400"/>
            <w:shd w:fill="F4F8FC" w:val="clear"/>
            <w:tcMar>
              <w:top w:type="dxa" w:w="70"/>
              <w:left w:type="dxa" w:w="100"/>
              <w:bottom w:type="dxa" w:w="70"/>
              <w:right w:type="dxa" w:w="100"/>
            </w:tcMar>
          </w:tcPr>
          <w:p>
            <w:pPr>
              <w:spacing w:after="0"/>
            </w:pPr>
            <w:r>
              <w:rPr>
                <w:color w:val="2A2A2A"/>
                <w:sz w:val="17"/>
                <w:szCs w:val="17"/>
              </w:rPr>
              <w:t xml:space="preserve">Consent below the standard the state requires</w:t>
            </w:r>
          </w:p>
        </w:tc>
        <w:tc>
          <w:tcPr>
            <w:tcW w:type="dxa" w:w="3260"/>
            <w:shd w:fill="F4F8FC" w:val="clear"/>
            <w:tcMar>
              <w:top w:type="dxa" w:w="70"/>
              <w:left w:type="dxa" w:w="100"/>
              <w:bottom w:type="dxa" w:w="70"/>
              <w:right w:type="dxa" w:w="100"/>
            </w:tcMar>
          </w:tcPr>
          <w:p>
            <w:pPr>
              <w:spacing w:after="0"/>
            </w:pPr>
            <w:r>
              <w:rPr>
                <w:color w:val="2A2A2A"/>
                <w:sz w:val="17"/>
                <w:szCs w:val="17"/>
              </w:rPr>
              <w:t xml:space="preserve">BLOCK</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4</w:t>
            </w:r>
          </w:p>
        </w:tc>
        <w:tc>
          <w:tcPr>
            <w:tcW w:type="dxa" w:w="5400"/>
            <w:shd w:fill="FFFFFF" w:val="clear"/>
            <w:tcMar>
              <w:top w:type="dxa" w:w="70"/>
              <w:left w:type="dxa" w:w="100"/>
              <w:bottom w:type="dxa" w:w="70"/>
              <w:right w:type="dxa" w:w="100"/>
            </w:tcMar>
          </w:tcPr>
          <w:p>
            <w:pPr>
              <w:spacing w:after="0"/>
            </w:pPr>
            <w:r>
              <w:rPr>
                <w:color w:val="2A2A2A"/>
                <w:sz w:val="17"/>
                <w:szCs w:val="17"/>
              </w:rPr>
              <w:t xml:space="preserve">Number suppressed — opted out, DNC, undeliverable</w:t>
            </w:r>
          </w:p>
        </w:tc>
        <w:tc>
          <w:tcPr>
            <w:tcW w:type="dxa" w:w="3260"/>
            <w:shd w:fill="FFFFFF" w:val="clear"/>
            <w:tcMar>
              <w:top w:type="dxa" w:w="70"/>
              <w:left w:type="dxa" w:w="100"/>
              <w:bottom w:type="dxa" w:w="70"/>
              <w:right w:type="dxa" w:w="100"/>
            </w:tcMar>
          </w:tcPr>
          <w:p>
            <w:pPr>
              <w:spacing w:after="0"/>
            </w:pPr>
            <w:r>
              <w:rPr>
                <w:color w:val="2A2A2A"/>
                <w:sz w:val="17"/>
                <w:szCs w:val="17"/>
              </w:rPr>
              <w:t xml:space="preserve">BLOCK</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5</w:t>
            </w:r>
          </w:p>
        </w:tc>
        <w:tc>
          <w:tcPr>
            <w:tcW w:type="dxa" w:w="5400"/>
            <w:shd w:fill="F4F8FC" w:val="clear"/>
            <w:tcMar>
              <w:top w:type="dxa" w:w="70"/>
              <w:left w:type="dxa" w:w="100"/>
              <w:bottom w:type="dxa" w:w="70"/>
              <w:right w:type="dxa" w:w="100"/>
            </w:tcMar>
          </w:tcPr>
          <w:p>
            <w:pPr>
              <w:spacing w:after="0"/>
            </w:pPr>
            <w:r>
              <w:rPr>
                <w:color w:val="2A2A2A"/>
                <w:sz w:val="17"/>
                <w:szCs w:val="17"/>
              </w:rPr>
              <w:t xml:space="preserve">Recipient has reached their per-person limit</w:t>
            </w:r>
          </w:p>
        </w:tc>
        <w:tc>
          <w:tcPr>
            <w:tcW w:type="dxa" w:w="3260"/>
            <w:shd w:fill="F4F8FC" w:val="clear"/>
            <w:tcMar>
              <w:top w:type="dxa" w:w="70"/>
              <w:left w:type="dxa" w:w="100"/>
              <w:bottom w:type="dxa" w:w="70"/>
              <w:right w:type="dxa" w:w="100"/>
            </w:tcMar>
          </w:tcPr>
          <w:p>
            <w:pPr>
              <w:spacing w:after="0"/>
            </w:pPr>
            <w:r>
              <w:rPr>
                <w:color w:val="2A2A2A"/>
                <w:sz w:val="17"/>
                <w:szCs w:val="17"/>
              </w:rPr>
              <w:t xml:space="preserve">BLOCK</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6</w:t>
            </w:r>
          </w:p>
        </w:tc>
        <w:tc>
          <w:tcPr>
            <w:tcW w:type="dxa" w:w="5400"/>
            <w:shd w:fill="FFFFFF" w:val="clear"/>
            <w:tcMar>
              <w:top w:type="dxa" w:w="70"/>
              <w:left w:type="dxa" w:w="100"/>
              <w:bottom w:type="dxa" w:w="70"/>
              <w:right w:type="dxa" w:w="100"/>
            </w:tcMar>
          </w:tcPr>
          <w:p>
            <w:pPr>
              <w:spacing w:after="0"/>
            </w:pPr>
            <w:r>
              <w:rPr>
                <w:color w:val="2A2A2A"/>
                <w:sz w:val="17"/>
                <w:szCs w:val="17"/>
              </w:rPr>
              <w:t xml:space="preserve">Campaign has reached its throughput cap</w:t>
            </w:r>
          </w:p>
        </w:tc>
        <w:tc>
          <w:tcPr>
            <w:tcW w:type="dxa" w:w="3260"/>
            <w:shd w:fill="FFFFFF" w:val="clear"/>
            <w:tcMar>
              <w:top w:type="dxa" w:w="70"/>
              <w:left w:type="dxa" w:w="100"/>
              <w:bottom w:type="dxa" w:w="70"/>
              <w:right w:type="dxa" w:w="100"/>
            </w:tcMar>
          </w:tcPr>
          <w:p>
            <w:pPr>
              <w:spacing w:after="0"/>
            </w:pPr>
            <w:r>
              <w:rPr>
                <w:color w:val="2A2A2A"/>
                <w:sz w:val="17"/>
                <w:szCs w:val="17"/>
              </w:rPr>
              <w:t xml:space="preserve">DEFER</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7</w:t>
            </w:r>
          </w:p>
        </w:tc>
        <w:tc>
          <w:tcPr>
            <w:tcW w:type="dxa" w:w="5400"/>
            <w:shd w:fill="F4F8FC" w:val="clear"/>
            <w:tcMar>
              <w:top w:type="dxa" w:w="70"/>
              <w:left w:type="dxa" w:w="100"/>
              <w:bottom w:type="dxa" w:w="70"/>
              <w:right w:type="dxa" w:w="100"/>
            </w:tcMar>
          </w:tcPr>
          <w:p>
            <w:pPr>
              <w:spacing w:after="0"/>
            </w:pPr>
            <w:r>
              <w:rPr>
                <w:color w:val="2A2A2A"/>
                <w:sz w:val="17"/>
                <w:szCs w:val="17"/>
              </w:rPr>
              <w:t xml:space="preserve">Outside the permitted local window</w:t>
            </w:r>
          </w:p>
        </w:tc>
        <w:tc>
          <w:tcPr>
            <w:tcW w:type="dxa" w:w="3260"/>
            <w:shd w:fill="F4F8FC" w:val="clear"/>
            <w:tcMar>
              <w:top w:type="dxa" w:w="70"/>
              <w:left w:type="dxa" w:w="100"/>
              <w:bottom w:type="dxa" w:w="70"/>
              <w:right w:type="dxa" w:w="100"/>
            </w:tcMar>
          </w:tcPr>
          <w:p>
            <w:pPr>
              <w:spacing w:after="0"/>
            </w:pPr>
            <w:r>
              <w:rPr>
                <w:color w:val="2A2A2A"/>
                <w:sz w:val="17"/>
                <w:szCs w:val="17"/>
              </w:rPr>
              <w:t xml:space="preserve">DEFER (per Time_Range)</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8</w:t>
            </w:r>
          </w:p>
        </w:tc>
        <w:tc>
          <w:tcPr>
            <w:tcW w:type="dxa" w:w="5400"/>
            <w:shd w:fill="FFFFFF" w:val="clear"/>
            <w:tcMar>
              <w:top w:type="dxa" w:w="70"/>
              <w:left w:type="dxa" w:w="100"/>
              <w:bottom w:type="dxa" w:w="70"/>
              <w:right w:type="dxa" w:w="100"/>
            </w:tcMar>
          </w:tcPr>
          <w:p>
            <w:pPr>
              <w:spacing w:after="0"/>
            </w:pPr>
            <w:r>
              <w:rPr>
                <w:color w:val="2A2A2A"/>
                <w:sz w:val="17"/>
                <w:szCs w:val="17"/>
              </w:rPr>
              <w:t xml:space="preserve">Otherwise</w:t>
            </w:r>
          </w:p>
        </w:tc>
        <w:tc>
          <w:tcPr>
            <w:tcW w:type="dxa" w:w="3260"/>
            <w:shd w:fill="FFFFFF" w:val="clear"/>
            <w:tcMar>
              <w:top w:type="dxa" w:w="70"/>
              <w:left w:type="dxa" w:w="100"/>
              <w:bottom w:type="dxa" w:w="70"/>
              <w:right w:type="dxa" w:w="100"/>
            </w:tcMar>
          </w:tcPr>
          <w:p>
            <w:pPr>
              <w:spacing w:after="0"/>
            </w:pPr>
            <w:r>
              <w:rPr>
                <w:color w:val="2A2A2A"/>
                <w:sz w:val="17"/>
                <w:szCs w:val="17"/>
              </w:rPr>
              <w:t xml:space="preserve">ALLOW</w:t>
            </w:r>
          </w:p>
        </w:tc>
      </w:tr>
    </w:tbl>
    <w:p>
      <w:pPr>
        <w:pStyle w:val="Heading2"/>
        <w:spacing w:after="110" w:before="230"/>
      </w:pPr>
      <w:r>
        <w:rPr>
          <w:b/>
          <w:bCs/>
          <w:color w:val="2E5E8C"/>
          <w:sz w:val="25"/>
          <w:szCs w:val="25"/>
        </w:rPr>
        <w:t xml:space="preserve">5.2 The two limit types are different rules</w:t>
      </w:r>
    </w:p>
    <w:p>
      <w:pPr>
        <w:spacing w:after="120" w:line="276"/>
      </w:pPr>
      <w:r>
        <w:rPr>
          <w:color w:val="222222"/>
          <w:sz w:val="21"/>
          <w:szCs w:val="21"/>
        </w:rPr>
        <w:t xml:space="preserve">This distinction is easy to lose and expensive to lose.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700"/>
        <w:gridCol w:w="3600"/>
        <w:gridCol w:w="4060"/>
      </w:tblGrid>
      <w:tr>
        <w:trPr>
          <w:tblHeader/>
        </w:trPr>
        <w:tc>
          <w:tcPr>
            <w:tcW w:type="dxa" w:w="1700"/>
            <w:shd w:fill="1F3A5F" w:val="clear"/>
            <w:tcMar>
              <w:top w:type="dxa" w:w="80"/>
              <w:left w:type="dxa" w:w="100"/>
              <w:bottom w:type="dxa" w:w="80"/>
              <w:right w:type="dxa" w:w="100"/>
            </w:tcMar>
          </w:tcPr>
          <w:p>
            <w:r>
              <w:rPr>
                <w:b/>
                <w:bCs/>
                <w:color w:val="FFFFFF"/>
                <w:sz w:val="18"/>
                <w:szCs w:val="18"/>
              </w:rPr>
              <w:t xml:space="preserve"/>
            </w:r>
          </w:p>
        </w:tc>
        <w:tc>
          <w:tcPr>
            <w:tcW w:type="dxa" w:w="3600"/>
            <w:shd w:fill="1F3A5F" w:val="clear"/>
            <w:tcMar>
              <w:top w:type="dxa" w:w="80"/>
              <w:left w:type="dxa" w:w="100"/>
              <w:bottom w:type="dxa" w:w="80"/>
              <w:right w:type="dxa" w:w="100"/>
            </w:tcMar>
          </w:tcPr>
          <w:p>
            <w:r>
              <w:rPr>
                <w:b/>
                <w:bCs/>
                <w:color w:val="FFFFFF"/>
                <w:sz w:val="18"/>
                <w:szCs w:val="18"/>
              </w:rPr>
              <w:t xml:space="preserve">Campaign cap</w:t>
            </w:r>
          </w:p>
        </w:tc>
        <w:tc>
          <w:tcPr>
            <w:tcW w:type="dxa" w:w="4060"/>
            <w:shd w:fill="1F3A5F" w:val="clear"/>
            <w:tcMar>
              <w:top w:type="dxa" w:w="80"/>
              <w:left w:type="dxa" w:w="100"/>
              <w:bottom w:type="dxa" w:w="80"/>
              <w:right w:type="dxa" w:w="100"/>
            </w:tcMar>
          </w:tcPr>
          <w:p>
            <w:r>
              <w:rPr>
                <w:b/>
                <w:bCs/>
                <w:color w:val="FFFFFF"/>
                <w:sz w:val="18"/>
                <w:szCs w:val="18"/>
              </w:rPr>
              <w:t xml:space="preserve">Recipient limit</w:t>
            </w:r>
          </w:p>
        </w:tc>
      </w:tr>
      <w:tr>
        <w:tc>
          <w:tcPr>
            <w:tcW w:type="dxa" w:w="1700"/>
            <w:shd w:fill="F4F8FC" w:val="clear"/>
            <w:tcMar>
              <w:top w:type="dxa" w:w="70"/>
              <w:left w:type="dxa" w:w="100"/>
              <w:bottom w:type="dxa" w:w="70"/>
              <w:right w:type="dxa" w:w="100"/>
            </w:tcMar>
          </w:tcPr>
          <w:p>
            <w:pPr>
              <w:spacing w:after="0"/>
            </w:pPr>
            <w:r>
              <w:rPr>
                <w:color w:val="2A2A2A"/>
                <w:sz w:val="17"/>
                <w:szCs w:val="17"/>
              </w:rPr>
              <w:t xml:space="preserve">Purpose</w:t>
            </w:r>
          </w:p>
        </w:tc>
        <w:tc>
          <w:tcPr>
            <w:tcW w:type="dxa" w:w="3600"/>
            <w:shd w:fill="F4F8FC" w:val="clear"/>
            <w:tcMar>
              <w:top w:type="dxa" w:w="70"/>
              <w:left w:type="dxa" w:w="100"/>
              <w:bottom w:type="dxa" w:w="70"/>
              <w:right w:type="dxa" w:w="100"/>
            </w:tcMar>
          </w:tcPr>
          <w:p>
            <w:pPr>
              <w:spacing w:after="0"/>
            </w:pPr>
            <w:r>
              <w:rPr>
                <w:color w:val="2A2A2A"/>
                <w:sz w:val="17"/>
                <w:szCs w:val="17"/>
              </w:rPr>
              <w:t xml:space="preserve">Throughput control we set</w:t>
            </w:r>
          </w:p>
        </w:tc>
        <w:tc>
          <w:tcPr>
            <w:tcW w:type="dxa" w:w="4060"/>
            <w:shd w:fill="F4F8FC" w:val="clear"/>
            <w:tcMar>
              <w:top w:type="dxa" w:w="70"/>
              <w:left w:type="dxa" w:w="100"/>
              <w:bottom w:type="dxa" w:w="70"/>
              <w:right w:type="dxa" w:w="100"/>
            </w:tcMar>
          </w:tcPr>
          <w:p>
            <w:pPr>
              <w:spacing w:after="0"/>
            </w:pPr>
            <w:r>
              <w:rPr>
                <w:color w:val="2A2A2A"/>
                <w:sz w:val="17"/>
                <w:szCs w:val="17"/>
              </w:rPr>
              <w:t xml:space="preserve">Protects the individual; set by regulation</w:t>
            </w:r>
          </w:p>
        </w:tc>
      </w:tr>
      <w:tr>
        <w:tc>
          <w:tcPr>
            <w:tcW w:type="dxa" w:w="1700"/>
            <w:shd w:fill="FFFFFF" w:val="clear"/>
            <w:tcMar>
              <w:top w:type="dxa" w:w="70"/>
              <w:left w:type="dxa" w:w="100"/>
              <w:bottom w:type="dxa" w:w="70"/>
              <w:right w:type="dxa" w:w="100"/>
            </w:tcMar>
          </w:tcPr>
          <w:p>
            <w:pPr>
              <w:spacing w:after="0"/>
            </w:pPr>
            <w:r>
              <w:rPr>
                <w:color w:val="2A2A2A"/>
                <w:sz w:val="17"/>
                <w:szCs w:val="17"/>
              </w:rPr>
              <w:t xml:space="preserve">Counts</w:t>
            </w:r>
          </w:p>
        </w:tc>
        <w:tc>
          <w:tcPr>
            <w:tcW w:type="dxa" w:w="3600"/>
            <w:shd w:fill="FFFFFF" w:val="clear"/>
            <w:tcMar>
              <w:top w:type="dxa" w:w="70"/>
              <w:left w:type="dxa" w:w="100"/>
              <w:bottom w:type="dxa" w:w="70"/>
              <w:right w:type="dxa" w:w="100"/>
            </w:tcMar>
          </w:tcPr>
          <w:p>
            <w:pPr>
              <w:spacing w:after="0"/>
            </w:pPr>
            <w:r>
              <w:rPr>
                <w:color w:val="2A2A2A"/>
                <w:sz w:val="17"/>
                <w:szCs w:val="17"/>
              </w:rPr>
              <w:t xml:space="preserve">Within one campaign</w:t>
            </w:r>
          </w:p>
        </w:tc>
        <w:tc>
          <w:tcPr>
            <w:tcW w:type="dxa" w:w="4060"/>
            <w:shd w:fill="FFFFFF" w:val="clear"/>
            <w:tcMar>
              <w:top w:type="dxa" w:w="70"/>
              <w:left w:type="dxa" w:w="100"/>
              <w:bottom w:type="dxa" w:w="70"/>
              <w:right w:type="dxa" w:w="100"/>
            </w:tcMar>
          </w:tcPr>
          <w:p>
            <w:pPr>
              <w:spacing w:after="0"/>
            </w:pPr>
            <w:r>
              <w:rPr>
                <w:color w:val="2A2A2A"/>
                <w:sz w:val="17"/>
                <w:szCs w:val="17"/>
              </w:rPr>
              <w:t xml:space="preserve">Across every campaign</w:t>
            </w:r>
          </w:p>
        </w:tc>
      </w:tr>
      <w:tr>
        <w:tc>
          <w:tcPr>
            <w:tcW w:type="dxa" w:w="1700"/>
            <w:shd w:fill="F4F8FC" w:val="clear"/>
            <w:tcMar>
              <w:top w:type="dxa" w:w="70"/>
              <w:left w:type="dxa" w:w="100"/>
              <w:bottom w:type="dxa" w:w="70"/>
              <w:right w:type="dxa" w:w="100"/>
            </w:tcMar>
          </w:tcPr>
          <w:p>
            <w:pPr>
              <w:spacing w:after="0"/>
            </w:pPr>
            <w:r>
              <w:rPr>
                <w:color w:val="2A2A2A"/>
                <w:sz w:val="17"/>
                <w:szCs w:val="17"/>
              </w:rPr>
              <w:t xml:space="preserve">On breach</w:t>
            </w:r>
          </w:p>
        </w:tc>
        <w:tc>
          <w:tcPr>
            <w:tcW w:type="dxa" w:w="3600"/>
            <w:shd w:fill="F4F8FC" w:val="clear"/>
            <w:tcMar>
              <w:top w:type="dxa" w:w="70"/>
              <w:left w:type="dxa" w:w="100"/>
              <w:bottom w:type="dxa" w:w="70"/>
              <w:right w:type="dxa" w:w="100"/>
            </w:tcMar>
          </w:tcPr>
          <w:p>
            <w:pPr>
              <w:spacing w:after="0"/>
            </w:pPr>
            <w:r>
              <w:rPr>
                <w:color w:val="2A2A2A"/>
                <w:sz w:val="17"/>
                <w:szCs w:val="17"/>
              </w:rPr>
              <w:t xml:space="preserve">Defer — capacity returns</w:t>
            </w:r>
          </w:p>
        </w:tc>
        <w:tc>
          <w:tcPr>
            <w:tcW w:type="dxa" w:w="4060"/>
            <w:shd w:fill="F4F8FC" w:val="clear"/>
            <w:tcMar>
              <w:top w:type="dxa" w:w="70"/>
              <w:left w:type="dxa" w:w="100"/>
              <w:bottom w:type="dxa" w:w="70"/>
              <w:right w:type="dxa" w:w="100"/>
            </w:tcMar>
          </w:tcPr>
          <w:p>
            <w:pPr>
              <w:spacing w:after="0"/>
            </w:pPr>
            <w:r>
              <w:rPr>
                <w:color w:val="2A2A2A"/>
                <w:sz w:val="17"/>
                <w:szCs w:val="17"/>
              </w:rPr>
              <w:t xml:space="preserve">Block — the period is weeks</w:t>
            </w:r>
          </w:p>
        </w:tc>
      </w:tr>
      <w:tr>
        <w:tc>
          <w:tcPr>
            <w:tcW w:type="dxa" w:w="1700"/>
            <w:shd w:fill="FFFFFF" w:val="clear"/>
            <w:tcMar>
              <w:top w:type="dxa" w:w="70"/>
              <w:left w:type="dxa" w:w="100"/>
              <w:bottom w:type="dxa" w:w="70"/>
              <w:right w:type="dxa" w:w="100"/>
            </w:tcMar>
          </w:tcPr>
          <w:p>
            <w:pPr>
              <w:spacing w:after="0"/>
            </w:pPr>
            <w:r>
              <w:rPr>
                <w:color w:val="2A2A2A"/>
                <w:sz w:val="17"/>
                <w:szCs w:val="17"/>
              </w:rPr>
              <w:t xml:space="preserve">Source</w:t>
            </w:r>
          </w:p>
        </w:tc>
        <w:tc>
          <w:tcPr>
            <w:tcW w:type="dxa" w:w="3600"/>
            <w:shd w:fill="FFFFFF" w:val="clear"/>
            <w:tcMar>
              <w:top w:type="dxa" w:w="70"/>
              <w:left w:type="dxa" w:w="100"/>
              <w:bottom w:type="dxa" w:w="70"/>
              <w:right w:type="dxa" w:w="100"/>
            </w:tcMar>
          </w:tcPr>
          <w:p>
            <w:pPr>
              <w:spacing w:after="0"/>
            </w:pPr>
            <w:r>
              <w:rPr>
                <w:color w:val="2A2A2A"/>
                <w:sz w:val="17"/>
                <w:szCs w:val="17"/>
              </w:rPr>
              <w:t xml:space="preserve">Campaign configuration</w:t>
            </w:r>
          </w:p>
        </w:tc>
        <w:tc>
          <w:tcPr>
            <w:tcW w:type="dxa" w:w="4060"/>
            <w:shd w:fill="FFFFFF" w:val="clear"/>
            <w:tcMar>
              <w:top w:type="dxa" w:w="70"/>
              <w:left w:type="dxa" w:w="100"/>
              <w:bottom w:type="dxa" w:w="70"/>
              <w:right w:type="dxa" w:w="100"/>
            </w:tcMar>
          </w:tcPr>
          <w:p>
            <w:pPr>
              <w:spacing w:after="0"/>
            </w:pPr>
            <w:r>
              <w:rPr>
                <w:color w:val="2A2A2A"/>
                <w:sz w:val="17"/>
                <w:szCs w:val="17"/>
              </w:rPr>
              <w:t xml:space="preserve">State_TCPA_Rules</w:t>
            </w:r>
          </w:p>
        </w:tc>
      </w:tr>
    </w:tbl>
    <w:p>
      <w:pPr>
        <w:spacing w:after="120" w:line="276"/>
      </w:pPr>
      <w:r>
        <w:rPr>
          <w:color w:val="222222"/>
          <w:sz w:val="21"/>
          <w:szCs w:val="21"/>
        </w:rPr>
        <w:t xml:space="preserve">A recipient can be comfortably inside every campaign's cap and still be over their personal limit, because three different campaigns each messaged them once. Only the second rule catches that.</w:t>
      </w:r>
    </w:p>
    <w:p>
      <w:pPr>
        <w:pStyle w:val="Heading2"/>
        <w:spacing w:after="110" w:before="230"/>
      </w:pPr>
      <w:r>
        <w:rPr>
          <w:b/>
          <w:bCs/>
          <w:color w:val="2E5E8C"/>
          <w:sz w:val="25"/>
          <w:szCs w:val="25"/>
        </w:rPr>
        <w:t xml:space="preserve">5.3 Time zone resolution</w:t>
      </w:r>
    </w:p>
    <w:p>
      <w:pPr>
        <w:spacing w:after="120" w:line="276"/>
      </w:pPr>
      <w:r>
        <w:rPr>
          <w:color w:val="222222"/>
          <w:sz w:val="21"/>
          <w:szCs w:val="21"/>
        </w:rPr>
        <w:t xml:space="preserve">Zip first, area code as fallback, following the chain already agreed:</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Patient phone    -&gt;  patient zip,    then guarantor zip</w:t>
            </w:r>
          </w:p>
          <w:p>
            <w:pPr>
              <w:spacing w:after="20"/>
            </w:pPr>
            <w:r>
              <w:rPr>
                <w:rFonts w:ascii="Consolas" w:cs="Consolas" w:eastAsia="Consolas" w:hAnsi="Consolas"/>
                <w:color w:val="1A1A1A"/>
                <w:sz w:val="17"/>
                <w:szCs w:val="17"/>
              </w:rPr>
              <w:t xml:space="preserve">Guarantor phone  -&gt;  guarantor zip,  then patient zip</w:t>
            </w:r>
          </w:p>
          <w:p>
            <w:pPr>
              <w:spacing w:after="20"/>
            </w:pPr>
            <w:r>
              <w:rPr>
                <w:rFonts w:ascii="Consolas" w:cs="Consolas" w:eastAsia="Consolas" w:hAnsi="Consolas"/>
                <w:color w:val="1A1A1A"/>
                <w:sz w:val="17"/>
                <w:szCs w:val="17"/>
              </w:rPr>
              <w:t xml:space="preserve">Either           -&gt;  area code as last resort</w:t>
            </w:r>
          </w:p>
        </w:tc>
      </w:tr>
    </w:tbl>
    <w:p>
      <w:pPr>
        <w:spacing w:after="120" w:line="276"/>
      </w:pPr>
      <w:r>
        <w:rPr>
          <w:color w:val="222222"/>
          <w:sz w:val="21"/>
          <w:szCs w:val="21"/>
        </w:rPr>
        <w:t xml:space="preserve">Zip is preferred deliberately. A mobile number keeps its area code when the owner moves, so the area code indicates where the number was issued rather than where the person is.</w:t>
      </w:r>
    </w:p>
    <w:p>
      <w:pPr>
        <w:spacing w:after="120" w:line="276"/>
      </w:pPr>
      <w:r>
        <w:rPr>
          <w:color w:val="222222"/>
          <w:sz w:val="21"/>
          <w:szCs w:val="21"/>
        </w:rPr>
        <w:t xml:space="preserve">Where nothing resolves, no zone should be guessed. A conservative window that is legal in every continental zone at once is the safe treatment, and such decisions should be flagged — a campaign where many recipients cannot be resolved has a data problem upstream worth fixing rather than tolerating.</w:t>
      </w:r>
    </w:p>
    <w:p>
      <w:pPr>
        <w:pStyle w:val="Heading2"/>
        <w:spacing w:after="110" w:before="230"/>
      </w:pPr>
      <w:r>
        <w:rPr>
          <w:b/>
          <w:bCs/>
          <w:color w:val="2E5E8C"/>
          <w:sz w:val="25"/>
          <w:szCs w:val="25"/>
        </w:rPr>
        <w:t xml:space="preserve">5.4 The window is a state ceiling, not a campaign setting</w:t>
      </w:r>
    </w:p>
    <w:p>
      <w:pPr>
        <w:spacing w:after="120" w:line="276"/>
      </w:pPr>
      <w:r>
        <w:rPr>
          <w:color w:val="222222"/>
          <w:sz w:val="21"/>
          <w:szCs w:val="21"/>
        </w:rPr>
        <w:t xml:space="preserve">AllowedStartHour and AllowedEndHour in State_TCPA_Rules are regulatory limits. A campaign may be more restrictive but never less. The effective window is the intersection:</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campaign 08:00-20:00,  state 08:00-21:00  -&gt;  08:00-20:00   campaign's choice</w:t>
            </w:r>
          </w:p>
          <w:p>
            <w:pPr>
              <w:spacing w:after="20"/>
            </w:pPr>
            <w:r>
              <w:rPr>
                <w:rFonts w:ascii="Consolas" w:cs="Consolas" w:eastAsia="Consolas" w:hAnsi="Consolas"/>
                <w:color w:val="1A1A1A"/>
                <w:sz w:val="17"/>
                <w:szCs w:val="17"/>
              </w:rPr>
              <w:t xml:space="preserve">campaign 07:00-22:00,  state 08:00-21:00  -&gt;  08:00-21:00   law prevails</w:t>
            </w:r>
          </w:p>
        </w:tc>
      </w:tr>
    </w:tbl>
    <w:p>
      <w:pPr>
        <w:spacing w:after="120" w:line="276"/>
      </w:pPr>
      <w:r>
        <w:rPr>
          <w:color w:val="222222"/>
          <w:sz w:val="21"/>
          <w:szCs w:val="21"/>
        </w:rPr>
        <w:t xml:space="preserve">This matters because whoever sets a campaign window on a screen has no visibility of which states the audience spans.</w:t>
      </w:r>
    </w:p>
    <w:tbl>
      <w:tblPr>
        <w:tblW w:type="pct" w:w="100%"/>
        <w:tblBorders>
          <w:top w:val="single" w:color="B7791F" w:sz="6"/>
          <w:left w:val="single" w:color="B7791F" w:sz="24"/>
          <w:bottom w:val="single" w:color="B7791F" w:sz="6"/>
          <w:right w:val="single" w:color="B7791F" w:sz="6"/>
          <w:insideH w:val="none"/>
          <w:insideV w:val="none"/>
        </w:tblBorders>
      </w:tblPr>
      <w:tblGrid>
        <w:gridCol w:w="9360"/>
      </w:tblGrid>
      <w:tr>
        <w:tc>
          <w:tcPr>
            <w:tcW w:type="dxa" w:w="9360"/>
            <w:shd w:fill="FBF3E4" w:val="clear"/>
            <w:tcMar>
              <w:top w:type="dxa" w:w="120"/>
              <w:left w:type="dxa" w:w="160"/>
              <w:bottom w:type="dxa" w:w="120"/>
              <w:right w:type="dxa" w:w="160"/>
            </w:tcMar>
          </w:tcPr>
          <w:p>
            <w:pPr>
              <w:spacing w:after="60"/>
            </w:pPr>
            <w:r>
              <w:rPr>
                <w:b/>
                <w:bCs/>
                <w:color w:val="B7791F"/>
                <w:sz w:val="21"/>
                <w:szCs w:val="21"/>
              </w:rPr>
              <w:t xml:space="preserve">A point to settle</w:t>
            </w:r>
          </w:p>
          <w:p>
            <w:pPr>
              <w:spacing w:after="40"/>
            </w:pPr>
            <w:r>
              <w:rPr>
                <w:color w:val="333333"/>
                <w:sz w:val="20"/>
                <w:szCs w:val="20"/>
              </w:rPr>
              <w:t xml:space="preserve">UseTimeZone on SMS_Queue_Detail is already populated with IANA ids, so something already resolves the zone — most likely a stored procedure.</w:t>
            </w:r>
          </w:p>
          <w:p>
            <w:pPr>
              <w:spacing w:after="40"/>
            </w:pPr>
            <w:r>
              <w:rPr>
                <w:color w:val="333333"/>
                <w:sz w:val="20"/>
                <w:szCs w:val="20"/>
              </w:rPr>
              <w:t xml:space="preserve">If a second resolution is written in service code, the same rule exists in two places. Two implementations of a compliance rule drift apart, and the drift is silent. Whichever is chosen should be the only one.</w:t>
            </w:r>
          </w:p>
        </w:tc>
      </w:tr>
    </w:tbl>
    <w:p>
      <w:pPr>
        <w:pStyle w:val="Heading2"/>
        <w:spacing w:after="110" w:before="230"/>
      </w:pPr>
      <w:r>
        <w:rPr>
          <w:b/>
          <w:bCs/>
          <w:color w:val="2E5E8C"/>
          <w:sz w:val="25"/>
          <w:szCs w:val="25"/>
        </w:rPr>
        <w:t xml:space="preserve">5.5 Daylight saving</w:t>
      </w:r>
    </w:p>
    <w:p>
      <w:pPr>
        <w:spacing w:after="120" w:line="276"/>
      </w:pPr>
      <w:r>
        <w:rPr>
          <w:color w:val="222222"/>
          <w:sz w:val="21"/>
          <w:szCs w:val="21"/>
        </w:rPr>
        <w:t xml:space="preserve">The permitted window is defined in the recipient's local wall-clock time; the system holds instants in UTC. The offset between them is not constant — it shifts twice a year, and not on the same date in every zone.</w:t>
      </w:r>
    </w:p>
    <w:p>
      <w:pPr>
        <w:spacing w:after="120" w:line="276"/>
      </w:pPr>
      <w:r>
        <w:rPr>
          <w:color w:val="222222"/>
          <w:sz w:val="21"/>
          <w:szCs w:val="21"/>
        </w:rPr>
        <w:t xml:space="preserve">Subtracting a fixed number of hours produces messages sent an hour early for several weeks after each transition. It is silent, it affects real people, and it is typically noticed only when someone complains. All conversion must go through a real time zone definition, and both awkward cases handled: the spring transition where a wall-clock time does not exist, and the autumn transition where it occurs twice.</w:t>
      </w:r>
    </w:p>
    <w:p>
      <w:pPr>
        <w:spacing w:after="120" w:line="276"/>
      </w:pPr>
      <w:r>
        <w:rPr>
          <w:i/>
          <w:iCs/>
          <w:color w:val="5A6672"/>
          <w:sz w:val="21"/>
          <w:szCs w:val="21"/>
        </w:rPr>
        <w:t xml:space="preserve">This also carries an operational requirement: hosts need current IANA time zone data. On Linux containers that means the tzdata package.</w:t>
      </w:r>
    </w:p>
    <w:p>
      <w:r>
        <w:br w:type="page"/>
      </w:r>
    </w:p>
    <w:p>
      <w:pPr>
        <w:pStyle w:val="Heading1"/>
        <w:spacing w:after="150" w:before="300"/>
      </w:pPr>
      <w:r>
        <w:rPr>
          <w:b/>
          <w:bCs/>
          <w:color w:val="1F3A5F"/>
          <w:sz w:val="30"/>
          <w:szCs w:val="30"/>
        </w:rPr>
        <w:t xml:space="preserve">6. Proposed Order Of Work</w:t>
      </w:r>
    </w:p>
    <w:p>
      <w:pPr>
        <w:spacing w:after="120" w:line="276"/>
      </w:pPr>
      <w:r>
        <w:rPr>
          <w:color w:val="222222"/>
          <w:sz w:val="21"/>
          <w:szCs w:val="21"/>
        </w:rPr>
        <w:t xml:space="preserve">Sequenced by what unblocks the most and what becomes expensive if deferred.</w:t>
      </w:r>
    </w:p>
    <w:p>
      <w:pPr>
        <w:pStyle w:val="Heading2"/>
        <w:spacing w:after="80" w:before="230"/>
      </w:pPr>
      <w:r>
        <w:rPr>
          <w:b/>
          <w:bCs/>
          <w:color w:val="2E5E8C"/>
          <w:sz w:val="25"/>
          <w:szCs w:val="25"/>
        </w:rPr>
        <w:t xml:space="preserve">A   </w:t>
      </w:r>
      <w:r>
        <w:rPr>
          <w:b/>
          <w:bCs/>
          <w:color w:val="1F3A5F"/>
          <w:sz w:val="25"/>
          <w:szCs w:val="25"/>
        </w:rPr>
        <w:t xml:space="preserve">Schema and configuration</w:t>
      </w:r>
    </w:p>
    <w:p>
      <w:pPr>
        <w:pBdr>
          <w:bottom w:val="single" w:color="2E5E8C" w:sz="6"/>
        </w:pBdr>
        <w:spacing w:after="100"/>
      </w:pPr>
      <w:r>
        <w:rPr>
          <w:i/>
          <w:iCs/>
          <w:color w:val="5A6672"/>
          <w:sz w:val="20"/>
          <w:szCs w:val="20"/>
        </w:rPr>
        <w:t xml:space="preserve">Cheap now, disproportionately expensive later. None of it is development work.</w:t>
      </w:r>
    </w:p>
    <w:p>
      <w:pPr>
        <w:pStyle w:val="ListParagraph"/>
        <w:numPr>
          <w:ilvl w:val="0"/>
          <w:numId w:val="2"/>
        </w:numPr>
        <w:spacing w:after="60" w:line="264"/>
      </w:pPr>
      <w:r>
        <w:rPr>
          <w:color w:val="222222"/>
          <w:sz w:val="21"/>
          <w:szCs w:val="21"/>
        </w:rPr>
        <w:t xml:space="preserve">Add the idempotency key column and unique index to SMS_Queue_Detail.</w:t>
      </w:r>
    </w:p>
    <w:p>
      <w:pPr>
        <w:pStyle w:val="ListParagraph"/>
        <w:numPr>
          <w:ilvl w:val="0"/>
          <w:numId w:val="2"/>
        </w:numPr>
        <w:spacing w:after="60" w:line="264"/>
      </w:pPr>
      <w:r>
        <w:rPr>
          <w:color w:val="222222"/>
          <w:sz w:val="21"/>
          <w:szCs w:val="21"/>
        </w:rPr>
        <w:t xml:space="preserve">Add a column for the provider message id.</w:t>
      </w:r>
    </w:p>
    <w:p>
      <w:pPr>
        <w:pStyle w:val="ListParagraph"/>
        <w:numPr>
          <w:ilvl w:val="0"/>
          <w:numId w:val="2"/>
        </w:numPr>
        <w:spacing w:after="60" w:line="264"/>
      </w:pPr>
      <w:r>
        <w:rPr>
          <w:color w:val="222222"/>
          <w:sz w:val="21"/>
          <w:szCs w:val="21"/>
        </w:rPr>
        <w:t xml:space="preserve">Add a Deferred status and a next-attempt datetime column.</w:t>
      </w:r>
    </w:p>
    <w:p>
      <w:pPr>
        <w:pStyle w:val="ListParagraph"/>
        <w:numPr>
          <w:ilvl w:val="0"/>
          <w:numId w:val="2"/>
        </w:numPr>
        <w:spacing w:after="60" w:line="264"/>
      </w:pPr>
      <w:r>
        <w:rPr>
          <w:color w:val="222222"/>
          <w:sz w:val="21"/>
          <w:szCs w:val="21"/>
        </w:rPr>
        <w:t xml:space="preserve">Set the Notify URL on the Connect SMS node, with authorisation enabled.</w:t>
      </w:r>
    </w:p>
    <w:p>
      <w:pPr>
        <w:pStyle w:val="ListParagraph"/>
        <w:numPr>
          <w:ilvl w:val="0"/>
          <w:numId w:val="2"/>
        </w:numPr>
        <w:spacing w:after="60" w:line="264"/>
      </w:pPr>
      <w:r>
        <w:rPr>
          <w:color w:val="222222"/>
          <w:sz w:val="21"/>
          <w:szCs w:val="21"/>
        </w:rPr>
        <w:t xml:space="preserve">Enable signature validation on the Connect webhook trigger.</w:t>
      </w:r>
    </w:p>
    <w:p>
      <w:pPr>
        <w:pStyle w:val="ListParagraph"/>
        <w:numPr>
          <w:ilvl w:val="0"/>
          <w:numId w:val="2"/>
        </w:numPr>
        <w:spacing w:after="60" w:line="264"/>
      </w:pPr>
      <w:r>
        <w:rPr>
          <w:color w:val="222222"/>
          <w:sz w:val="21"/>
          <w:szCs w:val="21"/>
        </w:rPr>
        <w:t xml:space="preserve">Correct the RuleParameter rule mapping, or confirm it is intended.</w:t>
      </w:r>
    </w:p>
    <w:p>
      <w:pPr>
        <w:pStyle w:val="ListParagraph"/>
        <w:numPr>
          <w:ilvl w:val="0"/>
          <w:numId w:val="2"/>
        </w:numPr>
        <w:spacing w:after="60" w:line="264"/>
      </w:pPr>
      <w:r>
        <w:rPr>
          <w:color w:val="222222"/>
          <w:sz w:val="21"/>
          <w:szCs w:val="21"/>
        </w:rPr>
        <w:t xml:space="preserve">Test whether Connect deduplicates on Correlation ID.</w:t>
      </w:r>
    </w:p>
    <w:p>
      <w:pPr>
        <w:pStyle w:val="Heading2"/>
        <w:spacing w:after="80" w:before="230"/>
      </w:pPr>
      <w:r>
        <w:rPr>
          <w:b/>
          <w:bCs/>
          <w:color w:val="2E5E8C"/>
          <w:sz w:val="25"/>
          <w:szCs w:val="25"/>
        </w:rPr>
        <w:t xml:space="preserve">B   </w:t>
      </w:r>
      <w:r>
        <w:rPr>
          <w:b/>
          <w:bCs/>
          <w:color w:val="1F3A5F"/>
          <w:sz w:val="25"/>
          <w:szCs w:val="25"/>
        </w:rPr>
        <w:t xml:space="preserve">Compliance evaluation</w:t>
      </w:r>
    </w:p>
    <w:p>
      <w:pPr>
        <w:pBdr>
          <w:bottom w:val="single" w:color="2E5E8C" w:sz="6"/>
        </w:pBdr>
        <w:spacing w:after="100"/>
      </w:pPr>
      <w:r>
        <w:rPr>
          <w:i/>
          <w:iCs/>
          <w:color w:val="5A6672"/>
          <w:sz w:val="20"/>
          <w:szCs w:val="20"/>
        </w:rPr>
        <w:t xml:space="preserve">The piece agreed as next, and where the regulatory exposure sits.</w:t>
      </w:r>
    </w:p>
    <w:p>
      <w:pPr>
        <w:pStyle w:val="ListParagraph"/>
        <w:numPr>
          <w:ilvl w:val="0"/>
          <w:numId w:val="2"/>
        </w:numPr>
        <w:spacing w:after="60" w:line="264"/>
      </w:pPr>
      <w:r>
        <w:rPr>
          <w:color w:val="222222"/>
          <w:sz w:val="21"/>
          <w:szCs w:val="21"/>
        </w:rPr>
        <w:t xml:space="preserve">Bind to ZipCode_TimeZones and State_TCPA_Rules.</w:t>
      </w:r>
    </w:p>
    <w:p>
      <w:pPr>
        <w:pStyle w:val="ListParagraph"/>
        <w:numPr>
          <w:ilvl w:val="0"/>
          <w:numId w:val="2"/>
        </w:numPr>
        <w:spacing w:after="60" w:line="264"/>
      </w:pPr>
      <w:r>
        <w:rPr>
          <w:color w:val="222222"/>
          <w:sz w:val="21"/>
          <w:szCs w:val="21"/>
        </w:rPr>
        <w:t xml:space="preserve">Apply the decision order in 5.1.</w:t>
      </w:r>
    </w:p>
    <w:p>
      <w:pPr>
        <w:pStyle w:val="ListParagraph"/>
        <w:numPr>
          <w:ilvl w:val="0"/>
          <w:numId w:val="2"/>
        </w:numPr>
        <w:spacing w:after="60" w:line="264"/>
      </w:pPr>
      <w:r>
        <w:rPr>
          <w:color w:val="222222"/>
          <w:sz w:val="21"/>
          <w:szCs w:val="21"/>
        </w:rPr>
        <w:t xml:space="preserve">Persist deferred times so a restart cannot lose scheduled messages.</w:t>
      </w:r>
    </w:p>
    <w:p>
      <w:pPr>
        <w:pStyle w:val="ListParagraph"/>
        <w:numPr>
          <w:ilvl w:val="0"/>
          <w:numId w:val="2"/>
        </w:numPr>
        <w:spacing w:after="60" w:line="264"/>
      </w:pPr>
      <w:r>
        <w:rPr>
          <w:color w:val="222222"/>
          <w:sz w:val="21"/>
          <w:szCs w:val="21"/>
        </w:rPr>
        <w:t xml:space="preserve">Settle whether zone resolution lives in the stored procedure or in service code — one place only.</w:t>
      </w:r>
    </w:p>
    <w:p>
      <w:pPr>
        <w:pStyle w:val="ListParagraph"/>
        <w:numPr>
          <w:ilvl w:val="0"/>
          <w:numId w:val="2"/>
        </w:numPr>
        <w:spacing w:after="60" w:line="264"/>
      </w:pPr>
      <w:r>
        <w:rPr>
          <w:color w:val="222222"/>
          <w:sz w:val="21"/>
          <w:szCs w:val="21"/>
        </w:rPr>
        <w:t xml:space="preserve">Wire consent, or accept explicitly that states requiring written consent are out of scope for now.</w:t>
      </w:r>
    </w:p>
    <w:p>
      <w:pPr>
        <w:pStyle w:val="Heading2"/>
        <w:spacing w:after="80" w:before="230"/>
      </w:pPr>
      <w:r>
        <w:rPr>
          <w:b/>
          <w:bCs/>
          <w:color w:val="2E5E8C"/>
          <w:sz w:val="25"/>
          <w:szCs w:val="25"/>
        </w:rPr>
        <w:t xml:space="preserve">C   </w:t>
      </w:r>
      <w:r>
        <w:rPr>
          <w:b/>
          <w:bCs/>
          <w:color w:val="1F3A5F"/>
          <w:sz w:val="25"/>
          <w:szCs w:val="25"/>
        </w:rPr>
        <w:t xml:space="preserve">Delivery and status</w:t>
      </w:r>
    </w:p>
    <w:p>
      <w:pPr>
        <w:pBdr>
          <w:bottom w:val="single" w:color="2E5E8C" w:sz="6"/>
        </w:pBdr>
        <w:spacing w:after="100"/>
      </w:pPr>
      <w:r>
        <w:rPr>
          <w:i/>
          <w:iCs/>
          <w:color w:val="5A6672"/>
          <w:sz w:val="20"/>
          <w:szCs w:val="20"/>
        </w:rPr>
        <w:t xml:space="preserve">The send path already works; what is missing is around it.</w:t>
      </w:r>
    </w:p>
    <w:p>
      <w:pPr>
        <w:pStyle w:val="ListParagraph"/>
        <w:numPr>
          <w:ilvl w:val="0"/>
          <w:numId w:val="2"/>
        </w:numPr>
        <w:spacing w:after="60" w:line="264"/>
      </w:pPr>
      <w:r>
        <w:rPr>
          <w:color w:val="222222"/>
          <w:sz w:val="21"/>
          <w:szCs w:val="21"/>
        </w:rPr>
        <w:t xml:space="preserve">Per-client sender numbers, replacing the single hardcoded number.</w:t>
      </w:r>
    </w:p>
    <w:p>
      <w:pPr>
        <w:pStyle w:val="ListParagraph"/>
        <w:numPr>
          <w:ilvl w:val="0"/>
          <w:numId w:val="2"/>
        </w:numPr>
        <w:spacing w:after="60" w:line="264"/>
      </w:pPr>
      <w:r>
        <w:rPr>
          <w:color w:val="222222"/>
          <w:sz w:val="21"/>
          <w:szCs w:val="21"/>
        </w:rPr>
        <w:t xml:space="preserve">Receive and record delivery receipts.</w:t>
      </w:r>
    </w:p>
    <w:p>
      <w:pPr>
        <w:pStyle w:val="ListParagraph"/>
        <w:numPr>
          <w:ilvl w:val="0"/>
          <w:numId w:val="2"/>
        </w:numPr>
        <w:spacing w:after="60" w:line="264"/>
      </w:pPr>
      <w:r>
        <w:rPr>
          <w:color w:val="222222"/>
          <w:sz w:val="21"/>
          <w:szCs w:val="21"/>
        </w:rPr>
        <w:t xml:space="preserve">Handle inbound replies, and confirm whether Webex forwards STOP to us at all.</w:t>
      </w:r>
    </w:p>
    <w:p>
      <w:pPr>
        <w:pStyle w:val="ListParagraph"/>
        <w:numPr>
          <w:ilvl w:val="0"/>
          <w:numId w:val="2"/>
        </w:numPr>
        <w:spacing w:after="60" w:line="264"/>
      </w:pPr>
      <w:r>
        <w:rPr>
          <w:color w:val="222222"/>
          <w:sz w:val="21"/>
          <w:szCs w:val="21"/>
        </w:rPr>
        <w:t xml:space="preserve">Define retry policy: what is retried, how often, and when it stops.</w:t>
      </w:r>
    </w:p>
    <w:p>
      <w:pPr>
        <w:pStyle w:val="Heading2"/>
        <w:spacing w:after="80" w:before="230"/>
      </w:pPr>
      <w:r>
        <w:rPr>
          <w:b/>
          <w:bCs/>
          <w:color w:val="2E5E8C"/>
          <w:sz w:val="25"/>
          <w:szCs w:val="25"/>
        </w:rPr>
        <w:t xml:space="preserve">D   </w:t>
      </w:r>
      <w:r>
        <w:rPr>
          <w:b/>
          <w:bCs/>
          <w:color w:val="1F3A5F"/>
          <w:sz w:val="25"/>
          <w:szCs w:val="25"/>
        </w:rPr>
        <w:t xml:space="preserve">Visibility</w:t>
      </w:r>
    </w:p>
    <w:p>
      <w:pPr>
        <w:pBdr>
          <w:bottom w:val="single" w:color="2E5E8C" w:sz="6"/>
        </w:pBdr>
        <w:spacing w:after="100"/>
      </w:pPr>
      <w:r>
        <w:rPr>
          <w:i/>
          <w:iCs/>
          <w:color w:val="5A6672"/>
          <w:sz w:val="20"/>
          <w:szCs w:val="20"/>
        </w:rPr>
        <w:t xml:space="preserve">Difficult to operate what cannot be seen, and problems surface here first.</w:t>
      </w:r>
    </w:p>
    <w:p>
      <w:pPr>
        <w:pStyle w:val="ListParagraph"/>
        <w:numPr>
          <w:ilvl w:val="0"/>
          <w:numId w:val="2"/>
        </w:numPr>
        <w:spacing w:after="60" w:line="264"/>
      </w:pPr>
      <w:r>
        <w:rPr>
          <w:color w:val="222222"/>
          <w:sz w:val="21"/>
          <w:szCs w:val="21"/>
        </w:rPr>
        <w:t xml:space="preserve">Per-campaign progress and per-message state.</w:t>
      </w:r>
    </w:p>
    <w:p>
      <w:pPr>
        <w:pStyle w:val="ListParagraph"/>
        <w:numPr>
          <w:ilvl w:val="0"/>
          <w:numId w:val="2"/>
        </w:numPr>
        <w:spacing w:after="60" w:line="264"/>
      </w:pPr>
      <w:r>
        <w:rPr>
          <w:color w:val="222222"/>
          <w:sz w:val="21"/>
          <w:szCs w:val="21"/>
        </w:rPr>
        <w:t xml:space="preserve">Grouped block and failure reasons, so the common cause is evident.</w:t>
      </w:r>
    </w:p>
    <w:p>
      <w:pPr>
        <w:pStyle w:val="ListParagraph"/>
        <w:numPr>
          <w:ilvl w:val="0"/>
          <w:numId w:val="2"/>
        </w:numPr>
        <w:spacing w:after="60" w:line="264"/>
      </w:pPr>
      <w:r>
        <w:rPr>
          <w:color w:val="222222"/>
          <w:sz w:val="21"/>
          <w:szCs w:val="21"/>
        </w:rPr>
        <w:t xml:space="preserve">Segment count shown when a template is written.</w:t>
      </w:r>
    </w:p>
    <w:p>
      <w:pPr>
        <w:pStyle w:val="ListParagraph"/>
        <w:numPr>
          <w:ilvl w:val="0"/>
          <w:numId w:val="2"/>
        </w:numPr>
        <w:spacing w:after="60" w:line="264"/>
      </w:pPr>
      <w:r>
        <w:rPr>
          <w:color w:val="222222"/>
          <w:sz w:val="21"/>
          <w:szCs w:val="21"/>
        </w:rPr>
        <w:t xml:space="preserve">A dry run that reports what would be sent without sending it.</w:t>
      </w:r>
    </w:p>
    <w:p>
      <w:r>
        <w:br w:type="page"/>
      </w:r>
    </w:p>
    <w:p>
      <w:pPr>
        <w:pStyle w:val="Heading1"/>
        <w:spacing w:after="150" w:before="300"/>
      </w:pPr>
      <w:r>
        <w:rPr>
          <w:b/>
          <w:bCs/>
          <w:color w:val="1F3A5F"/>
          <w:sz w:val="30"/>
          <w:szCs w:val="30"/>
        </w:rPr>
        <w:t xml:space="preserve">7. Decisions Needed</w:t>
      </w:r>
    </w:p>
    <w:p>
      <w:pPr>
        <w:spacing w:after="120" w:line="276"/>
      </w:pPr>
      <w:r>
        <w:rPr>
          <w:color w:val="222222"/>
          <w:sz w:val="21"/>
          <w:szCs w:val="21"/>
        </w:rPr>
        <w:t xml:space="preserve">Each of these changes something concrete about how the work proceeds.</w:t>
      </w:r>
    </w:p>
    <w:p>
      <w:pPr>
        <w:pStyle w:val="ListParagraph"/>
        <w:numPr>
          <w:ilvl w:val="0"/>
          <w:numId w:val="3"/>
        </w:numPr>
        <w:spacing w:after="60" w:line="264"/>
      </w:pPr>
      <w:r>
        <w:rPr>
          <w:color w:val="222222"/>
          <w:sz w:val="21"/>
          <w:szCs w:val="21"/>
        </w:rPr>
        <w:t xml:space="preserve">Where is consent recorded, and does it distinguish express from written? If not, states requiring written consent cannot be handled.</w:t>
      </w:r>
    </w:p>
    <w:p>
      <w:pPr>
        <w:pStyle w:val="ListParagraph"/>
        <w:numPr>
          <w:ilvl w:val="0"/>
          <w:numId w:val="3"/>
        </w:numPr>
        <w:spacing w:after="60" w:line="264"/>
      </w:pPr>
      <w:r>
        <w:rPr>
          <w:color w:val="222222"/>
          <w:sz w:val="21"/>
          <w:szCs w:val="21"/>
        </w:rPr>
        <w:t xml:space="preserve">Does Webex Connect accept a client-supplied idempotency key on send?</w:t>
      </w:r>
    </w:p>
    <w:p>
      <w:pPr>
        <w:pStyle w:val="ListParagraph"/>
        <w:numPr>
          <w:ilvl w:val="0"/>
          <w:numId w:val="3"/>
        </w:numPr>
        <w:spacing w:after="60" w:line="264"/>
      </w:pPr>
      <w:r>
        <w:rPr>
          <w:color w:val="222222"/>
          <w:sz w:val="21"/>
          <w:szCs w:val="21"/>
        </w:rPr>
        <w:t xml:space="preserve">Does Webex forward inbound STOP replies to us? If it suppresses on their side without telling us, our records will not reflect an opt-out we are obliged to honour.</w:t>
      </w:r>
    </w:p>
    <w:p>
      <w:pPr>
        <w:pStyle w:val="ListParagraph"/>
        <w:numPr>
          <w:ilvl w:val="0"/>
          <w:numId w:val="3"/>
        </w:numPr>
        <w:spacing w:after="60" w:line="264"/>
      </w:pPr>
      <w:r>
        <w:rPr>
          <w:color w:val="222222"/>
          <w:sz w:val="21"/>
          <w:szCs w:val="21"/>
        </w:rPr>
        <w:t xml:space="preserve">Is UseTimeZone populated by a stored procedure? If so, service-side resolution should not duplicate it.</w:t>
      </w:r>
    </w:p>
    <w:p>
      <w:pPr>
        <w:pStyle w:val="ListParagraph"/>
        <w:numPr>
          <w:ilvl w:val="0"/>
          <w:numId w:val="3"/>
        </w:numPr>
        <w:spacing w:after="60" w:line="264"/>
      </w:pPr>
      <w:r>
        <w:rPr>
          <w:color w:val="222222"/>
          <w:sz w:val="21"/>
          <w:szCs w:val="21"/>
        </w:rPr>
        <w:t xml:space="preserve">RuleParameter or State_TCPA_Rules — which is authoritative where both define the same limit?</w:t>
      </w:r>
    </w:p>
    <w:p>
      <w:pPr>
        <w:pStyle w:val="ListParagraph"/>
        <w:numPr>
          <w:ilvl w:val="0"/>
          <w:numId w:val="3"/>
        </w:numPr>
        <w:spacing w:after="60" w:line="264"/>
      </w:pPr>
      <w:r>
        <w:rPr>
          <w:color w:val="222222"/>
          <w:sz w:val="21"/>
          <w:szCs w:val="21"/>
        </w:rPr>
        <w:t xml:space="preserve">Per-client sender numbers: a variable in one flow, or one flow per client?</w:t>
      </w:r>
    </w:p>
    <w:p>
      <w:pPr>
        <w:pStyle w:val="ListParagraph"/>
        <w:numPr>
          <w:ilvl w:val="0"/>
          <w:numId w:val="3"/>
        </w:numPr>
        <w:spacing w:after="60" w:line="264"/>
      </w:pPr>
      <w:r>
        <w:rPr>
          <w:color w:val="222222"/>
          <w:sz w:val="21"/>
          <w:szCs w:val="21"/>
        </w:rPr>
        <w:t xml:space="preserve">Who may clear an opt-out? It re-enables messaging to someone who asked to stop and needs a restricted path.</w:t>
      </w:r>
    </w:p>
    <w:p>
      <w:pPr>
        <w:pStyle w:val="ListParagraph"/>
        <w:numPr>
          <w:ilvl w:val="0"/>
          <w:numId w:val="3"/>
        </w:numPr>
        <w:spacing w:after="60" w:line="264"/>
      </w:pPr>
      <w:r>
        <w:rPr>
          <w:color w:val="222222"/>
          <w:sz w:val="21"/>
          <w:szCs w:val="21"/>
        </w:rPr>
        <w:t xml:space="preserve">How long are queue rows and delivery records retained?</w:t>
      </w:r>
    </w:p>
    <w:p>
      <w:pPr>
        <w:spacing w:after="140"/>
      </w:pPr>
    </w:p>
    <w:tbl>
      <w:tblPr>
        <w:tblW w:type="pct" w:w="100%"/>
        <w:tblBorders>
          <w:top w:val="single" w:color="1F3A5F" w:sz="6"/>
          <w:left w:val="single" w:color="1F3A5F" w:sz="24"/>
          <w:bottom w:val="single" w:color="1F3A5F" w:sz="6"/>
          <w:right w:val="single" w:color="1F3A5F"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3A5F"/>
                <w:sz w:val="21"/>
                <w:szCs w:val="21"/>
              </w:rPr>
              <w:t xml:space="preserve">If only one thing is taken from this</w:t>
            </w:r>
          </w:p>
          <w:p>
            <w:pPr>
              <w:spacing w:after="40"/>
            </w:pPr>
            <w:r>
              <w:rPr>
                <w:color w:val="333333"/>
                <w:sz w:val="20"/>
                <w:szCs w:val="20"/>
              </w:rPr>
              <w:t xml:space="preserve">Add the idempotency key to SMS_Queue_Detail while the table is still being built. It is one column and one index today, and a migration against millions of rows later.</w:t>
            </w:r>
          </w:p>
          <w:p>
            <w:pPr>
              <w:spacing w:after="40"/>
            </w:pPr>
            <w:r>
              <w:rPr>
                <w:color w:val="333333"/>
                <w:sz w:val="20"/>
                <w:szCs w:val="20"/>
              </w:rPr>
              <w:t xml:space="preserve">It protects directly against the outcome that concerns everyone most — messages going out that should not have — and it is the only item on this list that becomes materially harder with every day of delay.</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pBdr>
      <w:jc w:val="center"/>
    </w:pPr>
    <w:r>
      <w:rPr>
        <w:color w:val="5A6672"/>
        <w:sz w:val="16"/>
        <w:szCs w:val="16"/>
      </w:rPr>
      <w:t xml:space="preserve">For review    ·    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jc w:val="right"/>
    </w:pPr>
    <w:r>
      <w:rPr>
        <w:color w:val="5A6672"/>
        <w:sz w:val="16"/>
        <w:szCs w:val="16"/>
      </w:rPr>
      <w:t xml:space="preserve">SMS Compliance — Specification and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abstractNum w:abstractNumId="4" w15:restartNumberingAfterBreak="0">
    <w:multiLevelType w:val="hybridMultilevel"/>
    <w:lvl w:ilvl="0" w15:tentative="1">
      <w:start w:val="1"/>
      <w:numFmt w:val="decimal"/>
      <w:lvlText w:val="%1."/>
      <w:lvlJc w:val="left"/>
      <w:pPr>
        <w:ind w:left="460" w:hanging="300"/>
      </w:pPr>
      <w:rPr>
        <w:b/>
        <w:bCs/>
        <w:color w:val="1F3A5F"/>
      </w:rPr>
    </w:lvl>
  </w:abstractNum>
  <w:abstractNum w:abstractNumId="5" w15:restartNumberingAfterBreak="0">
    <w:multiLevelType w:val="hybridMultilevel"/>
    <w:lvl w:ilvl="0" w15:tentative="1">
      <w:start w:val="1"/>
      <w:numFmt w:val="decimal"/>
      <w:lvlText w:val="%1."/>
      <w:lvlJc w:val="left"/>
      <w:pPr>
        <w:ind w:left="460" w:hanging="300"/>
      </w:pPr>
      <w:rPr>
        <w:b/>
        <w:bCs/>
        <w:color w:val="1F3A5F"/>
      </w:rPr>
    </w:lvl>
  </w:abstractNum>
  <w:abstractNum w:abstractNumId="6" w15:restartNumberingAfterBreak="0">
    <w:multiLevelType w:val="hybridMultilevel"/>
    <w:lvl w:ilvl="0" w15:tentative="1">
      <w:start w:val="1"/>
      <w:numFmt w:val="decimal"/>
      <w:lvlText w:val="%1."/>
      <w:lvlJc w:val="left"/>
      <w:pPr>
        <w:ind w:left="460" w:hanging="300"/>
      </w:pPr>
      <w:rPr>
        <w:b/>
        <w:bCs/>
        <w:color w:val="1F3A5F"/>
      </w:rPr>
    </w:lvl>
  </w:abstractNum>
  <w:abstractNum w:abstractNumId="7" w15:restartNumberingAfterBreak="0">
    <w:multiLevelType w:val="hybridMultilevel"/>
    <w:lvl w:ilvl="0" w15:tentative="1">
      <w:start w:val="1"/>
      <w:numFmt w:val="decimal"/>
      <w:lvlText w:val="%1."/>
      <w:lvlJc w:val="left"/>
      <w:pPr>
        <w:ind w:left="460" w:hanging="300"/>
      </w:pPr>
      <w:rPr>
        <w:b/>
        <w:bCs/>
        <w:color w:val="1F3A5F"/>
      </w:rPr>
    </w:lvl>
  </w:abstractNum>
  <w:abstractNum w:abstractNumId="8" w15:restartNumberingAfterBreak="0">
    <w:multiLevelType w:val="hybridMultilevel"/>
    <w:lvl w:ilvl="0" w15:tentative="1">
      <w:start w:val="1"/>
      <w:numFmt w:val="decimal"/>
      <w:lvlText w:val="%1."/>
      <w:lvlJc w:val="left"/>
      <w:pPr>
        <w:ind w:left="460" w:hanging="300"/>
      </w:pPr>
      <w:rPr>
        <w:b/>
        <w:bCs/>
        <w:color w:val="1F3A5F"/>
      </w:rPr>
    </w:lvl>
  </w:abstractNum>
  <w:abstractNum w:abstractNumId="9" w15:restartNumberingAfterBreak="0">
    <w:multiLevelType w:val="hybridMultilevel"/>
    <w:lvl w:ilvl="0" w15:tentative="1">
      <w:start w:val="1"/>
      <w:numFmt w:val="decimal"/>
      <w:lvlText w:val="%1."/>
      <w:lvlJc w:val="left"/>
      <w:pPr>
        <w:ind w:left="460" w:hanging="300"/>
      </w:pPr>
      <w:rPr>
        <w:b/>
        <w:bCs/>
        <w:color w:val="1F3A5F"/>
      </w:rPr>
    </w:lvl>
  </w:abstractNum>
  <w:abstractNum w:abstractNumId="10" w15:restartNumberingAfterBreak="0">
    <w:multiLevelType w:val="hybridMultilevel"/>
    <w:lvl w:ilvl="0" w15:tentative="1">
      <w:start w:val="1"/>
      <w:numFmt w:val="decimal"/>
      <w:lvlText w:val="%1."/>
      <w:lvlJc w:val="left"/>
      <w:pPr>
        <w:ind w:left="460" w:hanging="300"/>
      </w:pPr>
      <w:rPr>
        <w:b/>
        <w:bCs/>
        <w:color w:val="1F3A5F"/>
      </w:rPr>
    </w:lvl>
  </w:abstractNum>
  <w:abstractNum w:abstractNumId="11" w15:restartNumberingAfterBreak="0">
    <w:multiLevelType w:val="hybridMultilevel"/>
    <w:lvl w:ilvl="0" w15:tentative="1">
      <w:start w:val="1"/>
      <w:numFmt w:val="decimal"/>
      <w:lvlText w:val="%1."/>
      <w:lvlJc w:val="left"/>
      <w:pPr>
        <w:ind w:left="460" w:hanging="300"/>
      </w:pPr>
      <w:rPr>
        <w:b/>
        <w:bCs/>
        <w:color w:val="1F3A5F"/>
      </w:rPr>
    </w:lvl>
  </w:abstractNum>
  <w:abstractNum w:abstractNumId="12" w15:restartNumberingAfterBreak="0">
    <w:multiLevelType w:val="hybridMultilevel"/>
    <w:lvl w:ilvl="0" w15:tentative="1">
      <w:start w:val="1"/>
      <w:numFmt w:val="decimal"/>
      <w:lvlText w:val="%1."/>
      <w:lvlJc w:val="left"/>
      <w:pPr>
        <w:ind w:left="460" w:hanging="300"/>
      </w:pPr>
      <w:rPr>
        <w:b/>
        <w:bCs/>
        <w:color w:val="1F3A5F"/>
      </w:rPr>
    </w:lvl>
  </w:abstractNum>
  <w:abstractNum w:abstractNumId="13" w15:restartNumberingAfterBreak="0">
    <w:multiLevelType w:val="hybridMultilevel"/>
    <w:lvl w:ilvl="0" w15:tentative="1">
      <w:start w:val="1"/>
      <w:numFmt w:val="decimal"/>
      <w:lvlText w:val="%1."/>
      <w:lvlJc w:val="left"/>
      <w:pPr>
        <w:ind w:left="460" w:hanging="300"/>
      </w:pPr>
      <w:rPr>
        <w:b/>
        <w:bCs/>
        <w:color w:val="1F3A5F"/>
      </w:rPr>
    </w:lvl>
  </w:abstractNum>
  <w:abstractNum w:abstractNumId="14"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Compliance Specification and Assessment</dc:title>
  <dc:creator>Engineering</dc:creator>
  <cp:lastModifiedBy>Un-named</cp:lastModifiedBy>
  <cp:revision>1</cp:revision>
  <dcterms:created xsi:type="dcterms:W3CDTF">2026-08-06T09:41:09.897Z</dcterms:created>
  <dcterms:modified xsi:type="dcterms:W3CDTF">2026-08-06T09:41:09.898Z</dcterms:modified>
</cp:coreProperties>
</file>

<file path=docProps/custom.xml><?xml version="1.0" encoding="utf-8"?>
<Properties xmlns="http://schemas.openxmlformats.org/officeDocument/2006/custom-properties" xmlns:vt="http://schemas.openxmlformats.org/officeDocument/2006/docPropsVTypes"/>
</file>