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xiv7iuj0qlhn"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fdpfvlx5b5ci"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j167u0uv5lrd" w:id="3"/>
            <w:bookmarkEnd w:id="3"/>
            <w:r w:rsidDel="00000000" w:rsidR="00000000" w:rsidRPr="00000000">
              <w:rPr>
                <w:rFonts w:ascii="Poppins" w:cs="Poppins" w:eastAsia="Poppins" w:hAnsi="Poppins"/>
                <w:b w:val="1"/>
                <w:bCs w:val="1"/>
                <w:sz w:val="20"/>
                <w:szCs w:val="20"/>
                <w:rtl w:val="0"/>
              </w:rPr>
              <w:t xml:space="preserve">Nov 5,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392173332"/>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pacing w:before="280" w:lineRule="auto"/>
        <w:rPr>
          <w:rFonts w:ascii="Poppins" w:cs="Poppins" w:eastAsia="Poppins" w:hAnsi="Poppins"/>
          <w:b w:val="1"/>
          <w:bCs w:val="1"/>
          <w:color w:val="06897b"/>
          <w:sz w:val="34"/>
          <w:szCs w:val="34"/>
        </w:rPr>
      </w:pPr>
      <w:bookmarkStart w:colFirst="0" w:colLast="0" w:name="_etpy362l3cqr" w:id="4"/>
      <w:bookmarkEnd w:id="4"/>
      <w:r w:rsidDel="00000000" w:rsidR="00000000" w:rsidRPr="00000000">
        <w:rPr>
          <w:rFonts w:ascii="Poppins" w:cs="Poppins" w:eastAsia="Poppins" w:hAnsi="Poppins"/>
          <w:b w:val="1"/>
          <w:bCs w:val="1"/>
          <w:color w:val="06897b"/>
          <w:sz w:val="34"/>
          <w:szCs w:val="34"/>
          <w:rtl w:val="0"/>
        </w:rPr>
        <w:t xml:space="preserve">Overview</w:t>
      </w:r>
    </w:p>
    <w:p w:rsidR="00000000" w:rsidDel="00000000" w:rsidP="00000000" w:rsidRDefault="00000000" w:rsidRPr="00000000" w14:paraId="0000000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w:t>
      </w:r>
      <w:r w:rsidDel="00000000" w:rsidR="00000000" w:rsidRPr="00000000">
        <w:rPr>
          <w:rFonts w:ascii="Poppins" w:cs="Poppins" w:eastAsia="Poppins" w:hAnsi="Poppins"/>
          <w:rtl w:val="0"/>
        </w:rPr>
        <w:t xml:space="preserve">he goal here is to identify additional opportunities where tgndata can drive greater impact,  whether by increasing scope (more competitors, products), activating additional modules (e.g., Promotions, Assortment, Dynamic Pricing), or expanding to new regions.</w:t>
      </w:r>
    </w:p>
    <w:p w:rsidR="00000000" w:rsidDel="00000000" w:rsidP="00000000" w:rsidRDefault="00000000" w:rsidRPr="00000000" w14:paraId="0000000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Expansion is not just a sales motion,  it’s a natural continuation of Customer Success.</w:t>
      </w:r>
    </w:p>
    <w:p w:rsidR="00000000" w:rsidDel="00000000" w:rsidP="00000000" w:rsidRDefault="00000000" w:rsidRPr="00000000" w14:paraId="0000000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CSMs are responsible for recognizing signals of untapped value and aligning those opportunities with the customer’s evolving business priorities.</w:t>
      </w:r>
    </w:p>
    <w:p w:rsidR="00000000" w:rsidDel="00000000" w:rsidP="00000000" w:rsidRDefault="00000000" w:rsidRPr="00000000" w14:paraId="0000000C">
      <w:pPr>
        <w:pStyle w:val="Heading2"/>
        <w:keepNext w:val="0"/>
        <w:keepLines w:val="0"/>
        <w:spacing w:before="280" w:lineRule="auto"/>
        <w:rPr>
          <w:rFonts w:ascii="Poppins" w:cs="Poppins" w:eastAsia="Poppins" w:hAnsi="Poppins"/>
          <w:b w:val="1"/>
          <w:bCs w:val="1"/>
          <w:color w:val="06897b"/>
          <w:sz w:val="34"/>
          <w:szCs w:val="34"/>
        </w:rPr>
      </w:pPr>
      <w:bookmarkStart w:colFirst="0" w:colLast="0" w:name="_26fk6gkg45cf" w:id="5"/>
      <w:bookmarkEnd w:id="5"/>
      <w:r w:rsidDel="00000000" w:rsidR="00000000" w:rsidRPr="00000000">
        <w:rPr>
          <w:rFonts w:ascii="Poppins" w:cs="Poppins" w:eastAsia="Poppins" w:hAnsi="Poppins"/>
          <w:b w:val="1"/>
          <w:bCs w:val="1"/>
          <w:color w:val="06897b"/>
          <w:sz w:val="34"/>
          <w:szCs w:val="34"/>
          <w:rtl w:val="0"/>
        </w:rPr>
        <w:t xml:space="preserve">Why Expansion Matters</w:t>
      </w:r>
    </w:p>
    <w:p w:rsidR="00000000" w:rsidDel="00000000" w:rsidP="00000000" w:rsidRDefault="00000000" w:rsidRPr="00000000" w14:paraId="0000000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Healthy expansion is a direct reflection of strong adoption and demonstrated ROI.</w:t>
      </w:r>
    </w:p>
    <w:p w:rsidR="00000000" w:rsidDel="00000000" w:rsidP="00000000" w:rsidRDefault="00000000" w:rsidRPr="00000000" w14:paraId="0000000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When customers choose to expand, it’s because tgndata has become a trusted part of their pricing or commercial decision making process. Expansion increases customer stickiness, raises lifetime value, and strengthens relationships across multiple levels of the organization.</w:t>
      </w:r>
    </w:p>
    <w:p w:rsidR="00000000" w:rsidDel="00000000" w:rsidP="00000000" w:rsidRDefault="00000000" w:rsidRPr="00000000" w14:paraId="0000000F">
      <w:pPr>
        <w:pStyle w:val="Heading2"/>
        <w:keepNext w:val="0"/>
        <w:keepLines w:val="0"/>
        <w:spacing w:before="280" w:lineRule="auto"/>
        <w:rPr>
          <w:rFonts w:ascii="Poppins" w:cs="Poppins" w:eastAsia="Poppins" w:hAnsi="Poppins"/>
          <w:b w:val="1"/>
          <w:bCs w:val="1"/>
          <w:color w:val="06897b"/>
          <w:sz w:val="34"/>
          <w:szCs w:val="34"/>
        </w:rPr>
      </w:pPr>
      <w:bookmarkStart w:colFirst="0" w:colLast="0" w:name="_a4fg3vqsesgr" w:id="6"/>
      <w:bookmarkEnd w:id="6"/>
      <w:r w:rsidDel="00000000" w:rsidR="00000000" w:rsidRPr="00000000">
        <w:rPr>
          <w:rFonts w:ascii="Poppins" w:cs="Poppins" w:eastAsia="Poppins" w:hAnsi="Poppins"/>
          <w:b w:val="1"/>
          <w:bCs w:val="1"/>
          <w:color w:val="06897b"/>
          <w:sz w:val="34"/>
          <w:szCs w:val="34"/>
          <w:rtl w:val="0"/>
        </w:rPr>
        <w:t xml:space="preserve">Expansion Triggers</w:t>
      </w:r>
    </w:p>
    <w:p w:rsidR="00000000" w:rsidDel="00000000" w:rsidP="00000000" w:rsidRDefault="00000000" w:rsidRPr="00000000" w14:paraId="0000001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CSMs should continuously monitor for signals that indicate expansion readiness. Some examples are: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Fonts w:ascii="Poppins" w:cs="Poppins" w:eastAsia="Poppins" w:hAnsi="Poppins"/>
          <w:b w:val="1"/>
          <w:bCs w:val="1"/>
          <w:rtl w:val="0"/>
        </w:rPr>
        <w:t xml:space="preserve">Usage signals:</w:t>
      </w:r>
      <w:r w:rsidDel="00000000" w:rsidR="00000000" w:rsidRPr="00000000">
        <w:rPr>
          <w:rFonts w:ascii="Poppins" w:cs="Poppins" w:eastAsia="Poppins" w:hAnsi="Poppins"/>
          <w:rtl w:val="0"/>
        </w:rPr>
        <w:t xml:space="preserve"> The maximum of their products’ number has been reached or is getting really close.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Business maturity:</w:t>
      </w:r>
      <w:r w:rsidDel="00000000" w:rsidR="00000000" w:rsidRPr="00000000">
        <w:rPr>
          <w:rFonts w:ascii="Poppins" w:cs="Poppins" w:eastAsia="Poppins" w:hAnsi="Poppins"/>
          <w:rtl w:val="0"/>
        </w:rPr>
        <w:t xml:space="preserve"> Customer starts asking “what else can we monitor?” or requests custom analyses beyond current scope.</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Fonts w:ascii="Poppins" w:cs="Poppins" w:eastAsia="Poppins" w:hAnsi="Poppins"/>
          <w:b w:val="1"/>
          <w:bCs w:val="1"/>
          <w:rtl w:val="0"/>
        </w:rPr>
        <w:t xml:space="preserve">Strategic changes:</w:t>
      </w:r>
      <w:r w:rsidDel="00000000" w:rsidR="00000000" w:rsidRPr="00000000">
        <w:rPr>
          <w:rFonts w:ascii="Poppins" w:cs="Poppins" w:eastAsia="Poppins" w:hAnsi="Poppins"/>
          <w:rtl w:val="0"/>
        </w:rPr>
        <w:t xml:space="preserve"> New product launches, market entries, or pricing strategy shifts that require broader data coverage.</w:t>
      </w:r>
    </w:p>
    <w:p w:rsidR="00000000" w:rsidDel="00000000" w:rsidP="00000000" w:rsidRDefault="00000000" w:rsidRPr="00000000" w14:paraId="0000001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Each trigger should prompt the CSM to initiate an exploratory discussion about how tgndata can support these evolving needs.</w:t>
      </w:r>
    </w:p>
    <w:p w:rsidR="00000000" w:rsidDel="00000000" w:rsidP="00000000" w:rsidRDefault="00000000" w:rsidRPr="00000000" w14:paraId="00000015">
      <w:pPr>
        <w:pStyle w:val="Heading2"/>
        <w:keepNext w:val="0"/>
        <w:keepLines w:val="0"/>
        <w:spacing w:before="280" w:lineRule="auto"/>
        <w:rPr>
          <w:rFonts w:ascii="Poppins" w:cs="Poppins" w:eastAsia="Poppins" w:hAnsi="Poppins"/>
          <w:b w:val="1"/>
          <w:bCs w:val="1"/>
          <w:color w:val="06897b"/>
          <w:sz w:val="34"/>
          <w:szCs w:val="34"/>
        </w:rPr>
      </w:pPr>
      <w:bookmarkStart w:colFirst="0" w:colLast="0" w:name="_k0vm02rqi0gj" w:id="7"/>
      <w:bookmarkEnd w:id="7"/>
      <w:r w:rsidDel="00000000" w:rsidR="00000000" w:rsidRPr="00000000">
        <w:rPr>
          <w:rFonts w:ascii="Poppins" w:cs="Poppins" w:eastAsia="Poppins" w:hAnsi="Poppins"/>
          <w:b w:val="1"/>
          <w:bCs w:val="1"/>
          <w:color w:val="06897b"/>
          <w:sz w:val="34"/>
          <w:szCs w:val="34"/>
          <w:rtl w:val="0"/>
        </w:rPr>
        <w:t xml:space="preserve">CSM Responsibilities During Expansion</w:t>
      </w:r>
    </w:p>
    <w:p w:rsidR="00000000" w:rsidDel="00000000" w:rsidP="00000000" w:rsidRDefault="00000000" w:rsidRPr="00000000" w14:paraId="00000016">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Identify Expansion Paths</w:t>
      </w:r>
    </w:p>
    <w:p w:rsidR="00000000" w:rsidDel="00000000" w:rsidP="00000000" w:rsidRDefault="00000000" w:rsidRPr="00000000" w14:paraId="00000017">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Review usage and Success Plans to spot where tgndata could deliver additional value.</w:t>
      </w:r>
    </w:p>
    <w:p w:rsidR="00000000" w:rsidDel="00000000" w:rsidP="00000000" w:rsidRDefault="00000000" w:rsidRPr="00000000" w14:paraId="00000018">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Typical paths include:</w:t>
      </w:r>
    </w:p>
    <w:p w:rsidR="00000000" w:rsidDel="00000000" w:rsidP="00000000" w:rsidRDefault="00000000" w:rsidRPr="00000000" w14:paraId="00000019">
      <w:pPr>
        <w:numPr>
          <w:ilvl w:val="2"/>
          <w:numId w:val="4"/>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rtl w:val="0"/>
        </w:rPr>
        <w:t xml:space="preserve">Adding new products, retailers, or countries.</w:t>
      </w:r>
    </w:p>
    <w:p w:rsidR="00000000" w:rsidDel="00000000" w:rsidP="00000000" w:rsidRDefault="00000000" w:rsidRPr="00000000" w14:paraId="0000001A">
      <w:pPr>
        <w:numPr>
          <w:ilvl w:val="2"/>
          <w:numId w:val="4"/>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rtl w:val="0"/>
        </w:rPr>
        <w:t xml:space="preserve">Activating new modules (Promotions, Dynamic Pricing, Assortment).</w:t>
      </w:r>
    </w:p>
    <w:p w:rsidR="00000000" w:rsidDel="00000000" w:rsidP="00000000" w:rsidRDefault="00000000" w:rsidRPr="00000000" w14:paraId="0000001B">
      <w:pPr>
        <w:numPr>
          <w:ilvl w:val="2"/>
          <w:numId w:val="4"/>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rtl w:val="0"/>
        </w:rPr>
        <w:t xml:space="preserve">Extending access to new markets.</w:t>
      </w:r>
    </w:p>
    <w:p w:rsidR="00000000" w:rsidDel="00000000" w:rsidP="00000000" w:rsidRDefault="00000000" w:rsidRPr="00000000" w14:paraId="0000001C">
      <w:pPr>
        <w:numPr>
          <w:ilvl w:val="2"/>
          <w:numId w:val="4"/>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rtl w:val="0"/>
        </w:rPr>
        <w:t xml:space="preserve">Increasing data refresh frequency or custom developments.</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Validate Business Fit</w:t>
      </w:r>
    </w:p>
    <w:p w:rsidR="00000000" w:rsidDel="00000000" w:rsidP="00000000" w:rsidRDefault="00000000" w:rsidRPr="00000000" w14:paraId="0000001E">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Discuss with the customer what outcomes they’re targeting (e.g., faster competitor reaction time, full market coverage).</w:t>
      </w:r>
    </w:p>
    <w:p w:rsidR="00000000" w:rsidDel="00000000" w:rsidP="00000000" w:rsidRDefault="00000000" w:rsidRPr="00000000" w14:paraId="0000001F">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Confirm the business need before looping in Sales. The goal is to align the expansion with value, not quota.</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Collaborate with Engineering and Sales </w:t>
      </w:r>
    </w:p>
    <w:p w:rsidR="00000000" w:rsidDel="00000000" w:rsidP="00000000" w:rsidRDefault="00000000" w:rsidRPr="00000000" w14:paraId="00000021">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If the request is a custom development, it must be reviewed by engineers for feasibility and work hours.</w:t>
      </w:r>
    </w:p>
    <w:p w:rsidR="00000000" w:rsidDel="00000000" w:rsidP="00000000" w:rsidRDefault="00000000" w:rsidRPr="00000000" w14:paraId="00000022">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Once validated, CSMs and Sales align on positioning, pricing, and timing.</w:t>
      </w:r>
    </w:p>
    <w:p w:rsidR="00000000" w:rsidDel="00000000" w:rsidP="00000000" w:rsidRDefault="00000000" w:rsidRPr="00000000" w14:paraId="00000023">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CSM provides context (use cases, ROI stories, adoption health) to support the commercial discussion.</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Document and Track Expansion Opportunities</w:t>
      </w:r>
    </w:p>
    <w:p w:rsidR="00000000" w:rsidDel="00000000" w:rsidP="00000000" w:rsidRDefault="00000000" w:rsidRPr="00000000" w14:paraId="00000025">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Record expansion opportunities in Salesforce.</w:t>
      </w:r>
    </w:p>
    <w:p w:rsidR="00000000" w:rsidDel="00000000" w:rsidP="00000000" w:rsidRDefault="00000000" w:rsidRPr="00000000" w14:paraId="00000026">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Create a Success Plan objective for each identified opportunity.</w:t>
      </w:r>
    </w:p>
    <w:p w:rsidR="00000000" w:rsidDel="00000000" w:rsidP="00000000" w:rsidRDefault="00000000" w:rsidRPr="00000000" w14:paraId="00000027">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Track progression from exploration → proposal → close.</w:t>
      </w:r>
    </w:p>
    <w:p w:rsidR="00000000" w:rsidDel="00000000" w:rsidP="00000000" w:rsidRDefault="00000000" w:rsidRPr="00000000" w14:paraId="00000028">
      <w:pPr>
        <w:numPr>
          <w:ilvl w:val="1"/>
          <w:numId w:val="4"/>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Edit the Success Plan accordingly.</w:t>
      </w:r>
    </w:p>
    <w:p w:rsidR="00000000" w:rsidDel="00000000" w:rsidP="00000000" w:rsidRDefault="00000000" w:rsidRPr="00000000" w14:paraId="00000029">
      <w:pPr>
        <w:pStyle w:val="Heading2"/>
        <w:keepNext w:val="0"/>
        <w:keepLines w:val="0"/>
        <w:spacing w:before="280" w:lineRule="auto"/>
        <w:rPr>
          <w:rFonts w:ascii="Poppins" w:cs="Poppins" w:eastAsia="Poppins" w:hAnsi="Poppins"/>
          <w:b w:val="1"/>
          <w:bCs w:val="1"/>
          <w:color w:val="06897b"/>
          <w:sz w:val="34"/>
          <w:szCs w:val="34"/>
        </w:rPr>
      </w:pPr>
      <w:bookmarkStart w:colFirst="0" w:colLast="0" w:name="_pgjdzeowphr" w:id="8"/>
      <w:bookmarkEnd w:id="8"/>
      <w:r w:rsidDel="00000000" w:rsidR="00000000" w:rsidRPr="00000000">
        <w:rPr>
          <w:rFonts w:ascii="Poppins" w:cs="Poppins" w:eastAsia="Poppins" w:hAnsi="Poppins"/>
          <w:b w:val="1"/>
          <w:bCs w:val="1"/>
          <w:color w:val="06897b"/>
          <w:sz w:val="34"/>
          <w:szCs w:val="34"/>
          <w:rtl w:val="0"/>
        </w:rPr>
        <w:t xml:space="preserve">Expansion Readiness Checklist</w:t>
      </w:r>
    </w:p>
    <w:p w:rsidR="00000000" w:rsidDel="00000000" w:rsidP="00000000" w:rsidRDefault="00000000" w:rsidRPr="00000000" w14:paraId="0000002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Before suggesting an expansion, confirm:</w:t>
      </w:r>
    </w:p>
    <w:p w:rsidR="00000000" w:rsidDel="00000000" w:rsidP="00000000" w:rsidRDefault="00000000" w:rsidRPr="00000000" w14:paraId="0000002B">
      <w:pPr>
        <w:numPr>
          <w:ilvl w:val="0"/>
          <w:numId w:val="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customer has achieved strong adoption (e.x., consistent activity).</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Value has been demonstrated and acknowledged.</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Data quality issues are stable or resolved.</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Key stakeholders understand tgndata’s core workflows.</w:t>
      </w:r>
    </w:p>
    <w:p w:rsidR="00000000" w:rsidDel="00000000" w:rsidP="00000000" w:rsidRDefault="00000000" w:rsidRPr="00000000" w14:paraId="0000002F">
      <w:pPr>
        <w:numPr>
          <w:ilvl w:val="0"/>
          <w:numId w:val="1"/>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There’s an identifiable business problem the expansion will solve.</w:t>
      </w:r>
    </w:p>
    <w:p w:rsidR="00000000" w:rsidDel="00000000" w:rsidP="00000000" w:rsidRDefault="00000000" w:rsidRPr="00000000" w14:paraId="0000003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If any of these are missing, continue reinforcing adoption before introducing expansion discussions.</w:t>
      </w:r>
    </w:p>
    <w:p w:rsidR="00000000" w:rsidDel="00000000" w:rsidP="00000000" w:rsidRDefault="00000000" w:rsidRPr="00000000" w14:paraId="00000031">
      <w:pPr>
        <w:pStyle w:val="Heading2"/>
        <w:keepNext w:val="0"/>
        <w:keepLines w:val="0"/>
        <w:spacing w:before="280" w:lineRule="auto"/>
        <w:rPr>
          <w:rFonts w:ascii="Poppins" w:cs="Poppins" w:eastAsia="Poppins" w:hAnsi="Poppins"/>
          <w:b w:val="1"/>
          <w:bCs w:val="1"/>
          <w:color w:val="06897b"/>
          <w:sz w:val="34"/>
          <w:szCs w:val="34"/>
        </w:rPr>
      </w:pPr>
      <w:bookmarkStart w:colFirst="0" w:colLast="0" w:name="_fwlhh24p4wv1" w:id="9"/>
      <w:bookmarkEnd w:id="9"/>
      <w:r w:rsidDel="00000000" w:rsidR="00000000" w:rsidRPr="00000000">
        <w:rPr>
          <w:rFonts w:ascii="Poppins" w:cs="Poppins" w:eastAsia="Poppins" w:hAnsi="Poppins"/>
          <w:b w:val="1"/>
          <w:bCs w:val="1"/>
          <w:color w:val="06897b"/>
          <w:sz w:val="34"/>
          <w:szCs w:val="34"/>
          <w:rtl w:val="0"/>
        </w:rPr>
        <w:t xml:space="preserve">Expansion Execution</w:t>
      </w:r>
    </w:p>
    <w:p w:rsidR="00000000" w:rsidDel="00000000" w:rsidP="00000000" w:rsidRDefault="00000000" w:rsidRPr="00000000" w14:paraId="0000003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When the opportunity is validated:</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Fonts w:ascii="Poppins" w:cs="Poppins" w:eastAsia="Poppins" w:hAnsi="Poppins"/>
          <w:b w:val="1"/>
          <w:bCs w:val="1"/>
          <w:rtl w:val="0"/>
        </w:rPr>
        <w:t xml:space="preserve">Start with discovery.</w:t>
      </w:r>
      <w:r w:rsidDel="00000000" w:rsidR="00000000" w:rsidRPr="00000000">
        <w:rPr>
          <w:rFonts w:ascii="Poppins" w:cs="Poppins" w:eastAsia="Poppins" w:hAnsi="Poppins"/>
          <w:rtl w:val="0"/>
        </w:rPr>
        <w:t xml:space="preserve"> Ask what decisions the customer wants to support with additional data or modules.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Align the story to business outcomes.</w:t>
      </w:r>
      <w:r w:rsidDel="00000000" w:rsidR="00000000" w:rsidRPr="00000000">
        <w:rPr>
          <w:rFonts w:ascii="Poppins" w:cs="Poppins" w:eastAsia="Poppins" w:hAnsi="Poppins"/>
          <w:rtl w:val="0"/>
        </w:rPr>
        <w:t xml:space="preserve"> Link expansion directly to goals like market share visibility, promo efficiency, or price agility.</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Involve the right personas.</w:t>
      </w:r>
      <w:r w:rsidDel="00000000" w:rsidR="00000000" w:rsidRPr="00000000">
        <w:rPr>
          <w:rFonts w:ascii="Poppins" w:cs="Poppins" w:eastAsia="Poppins" w:hAnsi="Poppins"/>
          <w:rtl w:val="0"/>
        </w:rPr>
        <w:t xml:space="preserve"> Bring in the stakeholders who will benefit most (Category Managers, Pricing Directors, or Regional Leads).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Leverage customer success stories.</w:t>
      </w:r>
      <w:r w:rsidDel="00000000" w:rsidR="00000000" w:rsidRPr="00000000">
        <w:rPr>
          <w:rFonts w:ascii="Poppins" w:cs="Poppins" w:eastAsia="Poppins" w:hAnsi="Poppins"/>
          <w:rtl w:val="0"/>
        </w:rPr>
        <w:t xml:space="preserve"> Share examples of other clients who expanded successfully and the outcomes they achieved.</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Fonts w:ascii="Poppins" w:cs="Poppins" w:eastAsia="Poppins" w:hAnsi="Poppins"/>
          <w:b w:val="1"/>
          <w:bCs w:val="1"/>
          <w:rtl w:val="0"/>
        </w:rPr>
        <w:t xml:space="preserve">Document everything.</w:t>
      </w:r>
      <w:r w:rsidDel="00000000" w:rsidR="00000000" w:rsidRPr="00000000">
        <w:rPr>
          <w:rFonts w:ascii="Poppins" w:cs="Poppins" w:eastAsia="Poppins" w:hAnsi="Poppins"/>
          <w:rtl w:val="0"/>
        </w:rPr>
        <w:t xml:space="preserve"> Update the Success Plan and CRM with expansion progress and expected impact.</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astasopoulos@tgn-solu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