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0" w:before="0" w:line="288" w:lineRule="auto"/>
        <w:rPr>
          <w:rFonts w:ascii="Poppins" w:cs="Poppins" w:eastAsia="Poppins" w:hAnsi="Poppins"/>
          <w:b w:val="1"/>
          <w:bCs w:val="1"/>
          <w:sz w:val="20"/>
          <w:szCs w:val="20"/>
        </w:rPr>
      </w:pPr>
      <w:bookmarkStart w:colFirst="0" w:colLast="0" w:name="_69gozqh0ir37" w:id="0"/>
      <w:bookmarkEnd w:id="0"/>
      <w:r w:rsidDel="00000000" w:rsidR="00000000" w:rsidRPr="00000000">
        <w:rPr>
          <w:rtl w:val="0"/>
        </w:rPr>
      </w:r>
    </w:p>
    <w:tbl>
      <w:tblPr>
        <w:tblStyle w:val="Table1"/>
        <w:tblW w:w="8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2745"/>
        <w:gridCol w:w="2115"/>
        <w:tblGridChange w:id="0">
          <w:tblGrid>
            <w:gridCol w:w="3210"/>
            <w:gridCol w:w="2745"/>
            <w:gridCol w:w="2115"/>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2">
            <w:pPr>
              <w:pStyle w:val="Heading2"/>
              <w:keepNext w:val="0"/>
              <w:keepLines w:val="0"/>
              <w:shd w:fill="ffffff" w:val="clear"/>
              <w:spacing w:after="0" w:before="0" w:line="240" w:lineRule="auto"/>
              <w:jc w:val="center"/>
              <w:rPr/>
            </w:pPr>
            <w:bookmarkStart w:colFirst="0" w:colLast="0" w:name="_rymyo9o0lzna" w:id="1"/>
            <w:bookmarkEnd w:id="1"/>
            <w:r w:rsidDel="00000000" w:rsidR="00000000" w:rsidRPr="00000000">
              <w:rPr>
                <w:rFonts w:ascii="Poppins" w:cs="Poppins" w:eastAsia="Poppins" w:hAnsi="Poppins"/>
                <w:b w:val="1"/>
                <w:bCs w:val="1"/>
                <w:sz w:val="20"/>
                <w:szCs w:val="20"/>
                <w:rtl w:val="0"/>
              </w:rPr>
              <w:t xml:space="preserve">Author</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3">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Last Updated</w:t>
            </w:r>
          </w:p>
        </w:tc>
        <w:tc>
          <w:tcPr>
            <w:shd w:fill="auto" w:val="clear"/>
            <w:tcMar>
              <w:top w:w="0.0" w:type="dxa"/>
              <w:left w:w="0.0" w:type="dxa"/>
              <w:bottom w:w="0.0" w:type="dxa"/>
              <w:right w:w="0.0" w:type="dxa"/>
            </w:tcMar>
            <w:vAlign w:val="center"/>
          </w:tcPr>
          <w:p w:rsidR="00000000" w:rsidDel="00000000" w:rsidP="00000000" w:rsidRDefault="00000000" w:rsidRPr="00000000" w14:paraId="00000004">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Status</w:t>
            </w:r>
          </w:p>
        </w:tc>
      </w:tr>
      <w:tr>
        <w:trPr>
          <w:cantSplit w:val="0"/>
          <w:trHeight w:val="55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5">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wuy9nxy36jx3" w:id="2"/>
            <w:bookmarkEnd w:id="2"/>
            <w:hyperlink r:id="rId6">
              <w:r w:rsidDel="00000000" w:rsidR="00000000" w:rsidRPr="00000000">
                <w:rPr>
                  <w:rFonts w:ascii="Poppins" w:cs="Poppins" w:eastAsia="Poppins" w:hAnsi="Poppins"/>
                  <w:b w:val="1"/>
                  <w:bCs w:val="1"/>
                  <w:color w:val="0000ee"/>
                  <w:sz w:val="20"/>
                  <w:szCs w:val="20"/>
                  <w:u w:val="single"/>
                  <w:rtl w:val="0"/>
                </w:rPr>
                <w:t xml:space="preserve">Dimitris Anastasopoulos</w:t>
              </w:r>
            </w:hyperlink>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6">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5rhsrydweknf" w:id="3"/>
            <w:bookmarkEnd w:id="3"/>
            <w:r w:rsidDel="00000000" w:rsidR="00000000" w:rsidRPr="00000000">
              <w:rPr>
                <w:rFonts w:ascii="Poppins" w:cs="Poppins" w:eastAsia="Poppins" w:hAnsi="Poppins"/>
                <w:b w:val="1"/>
                <w:bCs w:val="1"/>
                <w:sz w:val="20"/>
                <w:szCs w:val="20"/>
                <w:rtl w:val="0"/>
              </w:rPr>
              <w:t xml:space="preserve">Nov 4, 2025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line="240" w:lineRule="auto"/>
              <w:jc w:val="center"/>
              <w:rPr>
                <w:rFonts w:ascii="Poppins" w:cs="Poppins" w:eastAsia="Poppins" w:hAnsi="Poppins"/>
                <w:b w:val="1"/>
                <w:bCs w:val="1"/>
                <w:sz w:val="20"/>
                <w:szCs w:val="20"/>
              </w:rPr>
            </w:pPr>
            <w:sdt>
              <w:sdtPr>
                <w:alias w:val="Page Status"/>
                <w:id w:val="-1490568137"/>
                <w:dropDownList w:lastValue="Verified">
                  <w:listItem w:displayText="Draft" w:value="Draft"/>
                  <w:listItem w:displayText="Verified" w:value="Verified"/>
                </w:dropDownList>
              </w:sdtPr>
              <w:sdtContent>
                <w:r w:rsidDel="00000000" w:rsidR="00000000" w:rsidRPr="00000000">
                  <w:rPr>
                    <w:rFonts w:ascii="Poppins" w:cs="Poppins" w:eastAsia="Poppins" w:hAnsi="Poppins"/>
                    <w:b w:val="1"/>
                    <w:bCs w:val="1"/>
                    <w:color w:val="0a53a8"/>
                    <w:sz w:val="20"/>
                    <w:szCs w:val="20"/>
                    <w:shd w:fill="bfe1f6" w:val="clear"/>
                  </w:rPr>
                  <w:t xml:space="preserve">Verified</w:t>
                </w:r>
              </w:sdtContent>
            </w:sdt>
            <w:r w:rsidDel="00000000" w:rsidR="00000000" w:rsidRPr="00000000">
              <w:rPr>
                <w:rtl w:val="0"/>
              </w:rPr>
            </w:r>
          </w:p>
        </w:tc>
      </w:tr>
    </w:tbl>
    <w:p w:rsidR="00000000" w:rsidDel="00000000" w:rsidP="00000000" w:rsidRDefault="00000000" w:rsidRPr="00000000" w14:paraId="00000008">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60bd2on0y7i4" w:id="4"/>
      <w:bookmarkEnd w:id="4"/>
      <w:r w:rsidDel="00000000" w:rsidR="00000000" w:rsidRPr="00000000">
        <w:rPr>
          <w:rFonts w:ascii="Poppins" w:cs="Poppins" w:eastAsia="Poppins" w:hAnsi="Poppins"/>
          <w:b w:val="1"/>
          <w:bCs w:val="1"/>
          <w:color w:val="06897b"/>
          <w:sz w:val="34"/>
          <w:szCs w:val="34"/>
          <w:rtl w:val="0"/>
        </w:rPr>
        <w:t xml:space="preserve">Overview</w:t>
      </w:r>
    </w:p>
    <w:p w:rsidR="00000000" w:rsidDel="00000000" w:rsidP="00000000" w:rsidRDefault="00000000" w:rsidRPr="00000000" w14:paraId="00000009">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An </w:t>
      </w:r>
      <w:r w:rsidDel="00000000" w:rsidR="00000000" w:rsidRPr="00000000">
        <w:rPr>
          <w:rFonts w:ascii="Poppins" w:cs="Poppins" w:eastAsia="Poppins" w:hAnsi="Poppins"/>
          <w:b w:val="1"/>
          <w:bCs w:val="1"/>
          <w:color w:val="212529"/>
          <w:rtl w:val="0"/>
        </w:rPr>
        <w:t xml:space="preserve">Executive Business Review (EBR)</w:t>
      </w:r>
      <w:r w:rsidDel="00000000" w:rsidR="00000000" w:rsidRPr="00000000">
        <w:rPr>
          <w:rFonts w:ascii="Poppins" w:cs="Poppins" w:eastAsia="Poppins" w:hAnsi="Poppins"/>
          <w:color w:val="212529"/>
          <w:rtl w:val="0"/>
        </w:rPr>
        <w:t xml:space="preserve"> is a strategic partnership meeting where key stakeholders from both organizations assess progress and align on future priorities. Going beyond standard metrics, these sessions focus on measurable business outcomes and return on investment, ensuring the partnership continues to deliver meaningful value. The EBR creates a focused environment for customer leadership to share their evolving business objectives while collaboratively developing action plans to achieve them. This approach ensures resources and initiatives remain aligned with what matters most to the customer’s success.</w:t>
      </w:r>
    </w:p>
    <w:p w:rsidR="00000000" w:rsidDel="00000000" w:rsidP="00000000" w:rsidRDefault="00000000" w:rsidRPr="00000000" w14:paraId="0000000A">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zdwt33xqcatp" w:id="5"/>
      <w:bookmarkEnd w:id="5"/>
      <w:r w:rsidDel="00000000" w:rsidR="00000000" w:rsidRPr="00000000">
        <w:rPr>
          <w:rFonts w:ascii="Poppins" w:cs="Poppins" w:eastAsia="Poppins" w:hAnsi="Poppins"/>
          <w:b w:val="1"/>
          <w:bCs w:val="1"/>
          <w:color w:val="06897b"/>
          <w:sz w:val="34"/>
          <w:szCs w:val="34"/>
          <w:rtl w:val="0"/>
        </w:rPr>
        <w:t xml:space="preserve">Strategic Alignment with Stakeholders: The Importance of the EBR</w:t>
      </w:r>
    </w:p>
    <w:p w:rsidR="00000000" w:rsidDel="00000000" w:rsidP="00000000" w:rsidRDefault="00000000" w:rsidRPr="00000000" w14:paraId="0000000B">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Executive Business Review brings together leadership teams to strengthen collaboration and drive measurable outcomes. These strategic sessions work best when key decision-makers from both organizations actively participate and share insights. Since coordinating executive schedules requires advance planning, begin preparations at least three months ahead. After initial discussions, distribute a brief summary that outlines the session’s objectives and logistics. This ensures all participants understand the purpose and can prepare meaningfully for the discussion.</w:t>
      </w:r>
    </w:p>
    <w:p w:rsidR="00000000" w:rsidDel="00000000" w:rsidP="00000000" w:rsidRDefault="00000000" w:rsidRPr="00000000" w14:paraId="0000000C">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v33dsvvgmaxa" w:id="6"/>
      <w:bookmarkEnd w:id="6"/>
      <w:r w:rsidDel="00000000" w:rsidR="00000000" w:rsidRPr="00000000">
        <w:rPr>
          <w:rFonts w:ascii="Poppins" w:cs="Poppins" w:eastAsia="Poppins" w:hAnsi="Poppins"/>
          <w:b w:val="1"/>
          <w:bCs w:val="1"/>
          <w:color w:val="06897b"/>
          <w:sz w:val="34"/>
          <w:szCs w:val="34"/>
          <w:rtl w:val="0"/>
        </w:rPr>
        <w:t xml:space="preserve">Executive Business Review Process and Overview</w:t>
      </w:r>
    </w:p>
    <w:p w:rsidR="00000000" w:rsidDel="00000000" w:rsidP="00000000" w:rsidRDefault="00000000" w:rsidRPr="00000000" w14:paraId="0000000D">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This section outlines the EBR process, highlighting key stages: preparation, delivery, and follow-ups. While the process can be tailored to meet specific customer needs, this guide provides a typical flow to ensure strategic alignment, seamless execution, and timely action on key outcomes.</w:t>
      </w:r>
    </w:p>
    <w:p w:rsidR="00000000" w:rsidDel="00000000" w:rsidP="00000000" w:rsidRDefault="00000000" w:rsidRPr="00000000" w14:paraId="0000000E">
      <w:pPr>
        <w:numPr>
          <w:ilvl w:val="0"/>
          <w:numId w:val="3"/>
        </w:numPr>
        <w:shd w:fill="ffffff" w:val="clear"/>
        <w:spacing w:after="0" w:afterAutospacing="0" w:lineRule="auto"/>
        <w:ind w:left="720" w:hanging="360"/>
        <w:rPr>
          <w:sz w:val="22"/>
          <w:szCs w:val="22"/>
        </w:rPr>
      </w:pPr>
      <w:r w:rsidDel="00000000" w:rsidR="00000000" w:rsidRPr="00000000">
        <w:rPr>
          <w:rFonts w:ascii="Poppins" w:cs="Poppins" w:eastAsia="Poppins" w:hAnsi="Poppins"/>
          <w:b w:val="1"/>
          <w:bCs w:val="1"/>
          <w:color w:val="212529"/>
          <w:rtl w:val="0"/>
        </w:rPr>
        <w:t xml:space="preserve">Internal Alignment (3-4 months prior)</w:t>
      </w:r>
      <w:r w:rsidDel="00000000" w:rsidR="00000000" w:rsidRPr="00000000">
        <w:rPr>
          <w:rFonts w:ascii="Poppins" w:cs="Poppins" w:eastAsia="Poppins" w:hAnsi="Poppins"/>
          <w:color w:val="212529"/>
          <w:rtl w:val="0"/>
        </w:rPr>
        <w:t xml:space="preserve">: CSM and the account team set goals, timing, and participants to ensure a successful EBR.</w:t>
      </w:r>
    </w:p>
    <w:p w:rsidR="00000000" w:rsidDel="00000000" w:rsidP="00000000" w:rsidRDefault="00000000" w:rsidRPr="00000000" w14:paraId="0000000F">
      <w:pPr>
        <w:numPr>
          <w:ilvl w:val="0"/>
          <w:numId w:val="3"/>
        </w:numPr>
        <w:shd w:fill="ffffff" w:val="clear"/>
        <w:spacing w:after="0" w:afterAutospacing="0" w:lineRule="auto"/>
        <w:ind w:left="720" w:hanging="360"/>
        <w:rPr>
          <w:sz w:val="22"/>
          <w:szCs w:val="22"/>
        </w:rPr>
      </w:pPr>
      <w:r w:rsidDel="00000000" w:rsidR="00000000" w:rsidRPr="00000000">
        <w:rPr>
          <w:rFonts w:ascii="Poppins" w:cs="Poppins" w:eastAsia="Poppins" w:hAnsi="Poppins"/>
          <w:b w:val="1"/>
          <w:bCs w:val="1"/>
          <w:color w:val="212529"/>
          <w:rtl w:val="0"/>
        </w:rPr>
        <w:t xml:space="preserve">Initial Customer Discussion (3 months prior)</w:t>
      </w:r>
      <w:r w:rsidDel="00000000" w:rsidR="00000000" w:rsidRPr="00000000">
        <w:rPr>
          <w:rFonts w:ascii="Poppins" w:cs="Poppins" w:eastAsia="Poppins" w:hAnsi="Poppins"/>
          <w:color w:val="212529"/>
          <w:rtl w:val="0"/>
        </w:rPr>
        <w:t xml:space="preserve">: CSM engages with the customer to define focus areas and align attendees.</w:t>
      </w:r>
    </w:p>
    <w:p w:rsidR="00000000" w:rsidDel="00000000" w:rsidP="00000000" w:rsidRDefault="00000000" w:rsidRPr="00000000" w14:paraId="00000010">
      <w:pPr>
        <w:numPr>
          <w:ilvl w:val="0"/>
          <w:numId w:val="3"/>
        </w:numPr>
        <w:shd w:fill="ffffff" w:val="clear"/>
        <w:spacing w:after="0" w:afterAutospacing="0" w:lineRule="auto"/>
        <w:ind w:left="720" w:hanging="360"/>
        <w:rPr>
          <w:sz w:val="22"/>
          <w:szCs w:val="22"/>
        </w:rPr>
      </w:pPr>
      <w:r w:rsidDel="00000000" w:rsidR="00000000" w:rsidRPr="00000000">
        <w:rPr>
          <w:rFonts w:ascii="Poppins" w:cs="Poppins" w:eastAsia="Poppins" w:hAnsi="Poppins"/>
          <w:b w:val="1"/>
          <w:bCs w:val="1"/>
          <w:color w:val="212529"/>
          <w:rtl w:val="0"/>
        </w:rPr>
        <w:t xml:space="preserve">Scheduling (2-3 months prior)</w:t>
      </w:r>
      <w:r w:rsidDel="00000000" w:rsidR="00000000" w:rsidRPr="00000000">
        <w:rPr>
          <w:rFonts w:ascii="Poppins" w:cs="Poppins" w:eastAsia="Poppins" w:hAnsi="Poppins"/>
          <w:color w:val="212529"/>
          <w:rtl w:val="0"/>
        </w:rPr>
        <w:t xml:space="preserve">: Confirm date and attendees, and secure participation from tgndata leadership if needed..</w:t>
      </w:r>
    </w:p>
    <w:p w:rsidR="00000000" w:rsidDel="00000000" w:rsidP="00000000" w:rsidRDefault="00000000" w:rsidRPr="00000000" w14:paraId="00000011">
      <w:pPr>
        <w:numPr>
          <w:ilvl w:val="0"/>
          <w:numId w:val="3"/>
        </w:numPr>
        <w:shd w:fill="ffffff" w:val="clear"/>
        <w:spacing w:after="0" w:afterAutospacing="0" w:lineRule="auto"/>
        <w:ind w:left="720" w:hanging="360"/>
        <w:rPr>
          <w:sz w:val="22"/>
          <w:szCs w:val="22"/>
        </w:rPr>
      </w:pPr>
      <w:r w:rsidDel="00000000" w:rsidR="00000000" w:rsidRPr="00000000">
        <w:rPr>
          <w:rFonts w:ascii="Poppins" w:cs="Poppins" w:eastAsia="Poppins" w:hAnsi="Poppins"/>
          <w:b w:val="1"/>
          <w:bCs w:val="1"/>
          <w:color w:val="212529"/>
          <w:rtl w:val="0"/>
        </w:rPr>
        <w:t xml:space="preserve">EBR Planning (1 month prior)</w:t>
      </w:r>
      <w:r w:rsidDel="00000000" w:rsidR="00000000" w:rsidRPr="00000000">
        <w:rPr>
          <w:rFonts w:ascii="Poppins" w:cs="Poppins" w:eastAsia="Poppins" w:hAnsi="Poppins"/>
          <w:color w:val="212529"/>
          <w:rtl w:val="0"/>
        </w:rPr>
        <w:t xml:space="preserve">: Build the EBR content, aligning with internal and customer stakeholders to ensure strategic focus.</w:t>
      </w:r>
    </w:p>
    <w:p w:rsidR="00000000" w:rsidDel="00000000" w:rsidP="00000000" w:rsidRDefault="00000000" w:rsidRPr="00000000" w14:paraId="00000012">
      <w:pPr>
        <w:numPr>
          <w:ilvl w:val="0"/>
          <w:numId w:val="3"/>
        </w:numPr>
        <w:shd w:fill="ffffff" w:val="clear"/>
        <w:spacing w:after="0" w:afterAutospacing="0" w:lineRule="auto"/>
        <w:ind w:left="720" w:hanging="360"/>
        <w:rPr>
          <w:sz w:val="22"/>
          <w:szCs w:val="22"/>
        </w:rPr>
      </w:pPr>
      <w:r w:rsidDel="00000000" w:rsidR="00000000" w:rsidRPr="00000000">
        <w:rPr>
          <w:rFonts w:ascii="Poppins" w:cs="Poppins" w:eastAsia="Poppins" w:hAnsi="Poppins"/>
          <w:b w:val="1"/>
          <w:bCs w:val="1"/>
          <w:color w:val="212529"/>
          <w:rtl w:val="0"/>
        </w:rPr>
        <w:t xml:space="preserve">Internal Review (3-4 weeks prior)</w:t>
      </w:r>
      <w:r w:rsidDel="00000000" w:rsidR="00000000" w:rsidRPr="00000000">
        <w:rPr>
          <w:rFonts w:ascii="Poppins" w:cs="Poppins" w:eastAsia="Poppins" w:hAnsi="Poppins"/>
          <w:color w:val="212529"/>
          <w:rtl w:val="0"/>
        </w:rPr>
        <w:t xml:space="preserve">: Finalize the presentation with internal tgndata teams and adjust based on feedback.</w:t>
      </w:r>
    </w:p>
    <w:p w:rsidR="00000000" w:rsidDel="00000000" w:rsidP="00000000" w:rsidRDefault="00000000" w:rsidRPr="00000000" w14:paraId="00000013">
      <w:pPr>
        <w:numPr>
          <w:ilvl w:val="0"/>
          <w:numId w:val="3"/>
        </w:numPr>
        <w:shd w:fill="ffffff" w:val="clear"/>
        <w:spacing w:after="0" w:afterAutospacing="0" w:lineRule="auto"/>
        <w:ind w:left="720" w:hanging="360"/>
        <w:rPr>
          <w:sz w:val="22"/>
          <w:szCs w:val="22"/>
        </w:rPr>
      </w:pPr>
      <w:r w:rsidDel="00000000" w:rsidR="00000000" w:rsidRPr="00000000">
        <w:rPr>
          <w:rFonts w:ascii="Poppins" w:cs="Poppins" w:eastAsia="Poppins" w:hAnsi="Poppins"/>
          <w:b w:val="1"/>
          <w:bCs w:val="1"/>
          <w:color w:val="212529"/>
          <w:rtl w:val="0"/>
        </w:rPr>
        <w:t xml:space="preserve">Customer Review (2-3 weeks prior)</w:t>
      </w:r>
      <w:r w:rsidDel="00000000" w:rsidR="00000000" w:rsidRPr="00000000">
        <w:rPr>
          <w:rFonts w:ascii="Poppins" w:cs="Poppins" w:eastAsia="Poppins" w:hAnsi="Poppins"/>
          <w:color w:val="212529"/>
          <w:rtl w:val="0"/>
        </w:rPr>
        <w:t xml:space="preserve">: Validate the agenda and content with the customer to ensure alignment with their expectations.</w:t>
      </w:r>
    </w:p>
    <w:p w:rsidR="00000000" w:rsidDel="00000000" w:rsidP="00000000" w:rsidRDefault="00000000" w:rsidRPr="00000000" w14:paraId="00000014">
      <w:pPr>
        <w:numPr>
          <w:ilvl w:val="0"/>
          <w:numId w:val="3"/>
        </w:numPr>
        <w:shd w:fill="ffffff" w:val="clear"/>
        <w:spacing w:after="0" w:afterAutospacing="0" w:lineRule="auto"/>
        <w:ind w:left="720" w:hanging="360"/>
        <w:rPr>
          <w:sz w:val="22"/>
          <w:szCs w:val="22"/>
        </w:rPr>
      </w:pPr>
      <w:r w:rsidDel="00000000" w:rsidR="00000000" w:rsidRPr="00000000">
        <w:rPr>
          <w:rFonts w:ascii="Poppins" w:cs="Poppins" w:eastAsia="Poppins" w:hAnsi="Poppins"/>
          <w:b w:val="1"/>
          <w:bCs w:val="1"/>
          <w:color w:val="212529"/>
          <w:rtl w:val="0"/>
        </w:rPr>
        <w:t xml:space="preserve">Delivery</w:t>
      </w:r>
      <w:r w:rsidDel="00000000" w:rsidR="00000000" w:rsidRPr="00000000">
        <w:rPr>
          <w:rFonts w:ascii="Poppins" w:cs="Poppins" w:eastAsia="Poppins" w:hAnsi="Poppins"/>
          <w:color w:val="212529"/>
          <w:rtl w:val="0"/>
        </w:rPr>
        <w:t xml:space="preserve">: The EBR is conducted, focusing on strategic alignment and driving outcomes for the customer.</w:t>
      </w:r>
    </w:p>
    <w:p w:rsidR="00000000" w:rsidDel="00000000" w:rsidP="00000000" w:rsidRDefault="00000000" w:rsidRPr="00000000" w14:paraId="00000015">
      <w:pPr>
        <w:numPr>
          <w:ilvl w:val="0"/>
          <w:numId w:val="3"/>
        </w:numPr>
        <w:shd w:fill="ffffff" w:val="clear"/>
        <w:spacing w:after="240" w:lineRule="auto"/>
        <w:ind w:left="720" w:hanging="360"/>
        <w:rPr>
          <w:sz w:val="22"/>
          <w:szCs w:val="22"/>
        </w:rPr>
      </w:pPr>
      <w:r w:rsidDel="00000000" w:rsidR="00000000" w:rsidRPr="00000000">
        <w:rPr>
          <w:rFonts w:ascii="Poppins" w:cs="Poppins" w:eastAsia="Poppins" w:hAnsi="Poppins"/>
          <w:b w:val="1"/>
          <w:bCs w:val="1"/>
          <w:color w:val="212529"/>
          <w:rtl w:val="0"/>
        </w:rPr>
        <w:t xml:space="preserve">Follow-ups (Within 1 business day)</w:t>
      </w:r>
      <w:r w:rsidDel="00000000" w:rsidR="00000000" w:rsidRPr="00000000">
        <w:rPr>
          <w:rFonts w:ascii="Poppins" w:cs="Poppins" w:eastAsia="Poppins" w:hAnsi="Poppins"/>
          <w:color w:val="212529"/>
          <w:rtl w:val="0"/>
        </w:rPr>
        <w:t xml:space="preserve">: A follow-up email is sent to review action items, ensuring timely completion. The Success Plan is also updated to reflect insights from the EBR.</w:t>
      </w:r>
    </w:p>
    <w:p w:rsidR="00000000" w:rsidDel="00000000" w:rsidP="00000000" w:rsidRDefault="00000000" w:rsidRPr="00000000" w14:paraId="00000016">
      <w:pPr>
        <w:pStyle w:val="Heading3"/>
        <w:keepNext w:val="0"/>
        <w:keepLines w:val="0"/>
        <w:shd w:fill="ffffff" w:val="clear"/>
        <w:spacing w:before="280" w:line="288" w:lineRule="auto"/>
        <w:rPr>
          <w:rFonts w:ascii="Poppins" w:cs="Poppins" w:eastAsia="Poppins" w:hAnsi="Poppins"/>
          <w:b w:val="1"/>
          <w:bCs w:val="1"/>
          <w:color w:val="212529"/>
          <w:sz w:val="22"/>
          <w:szCs w:val="22"/>
        </w:rPr>
      </w:pPr>
      <w:bookmarkStart w:colFirst="0" w:colLast="0" w:name="_cof1ljtotwe5" w:id="7"/>
      <w:bookmarkEnd w:id="7"/>
      <w:r w:rsidDel="00000000" w:rsidR="00000000" w:rsidRPr="00000000">
        <w:rPr>
          <w:rFonts w:ascii="Poppins" w:cs="Poppins" w:eastAsia="Poppins" w:hAnsi="Poppins"/>
          <w:b w:val="1"/>
          <w:bCs w:val="1"/>
          <w:color w:val="212529"/>
          <w:sz w:val="22"/>
          <w:szCs w:val="22"/>
          <w:rtl w:val="0"/>
        </w:rPr>
        <w:t xml:space="preserve">Final Review with the Customer</w:t>
      </w:r>
    </w:p>
    <w:p w:rsidR="00000000" w:rsidDel="00000000" w:rsidP="00000000" w:rsidRDefault="00000000" w:rsidRPr="00000000" w14:paraId="00000017">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Throughout the EBR’s development, the CSM &amp; account team collaborate with their customer contacts. A final review of the EBR is conducted with the account team and customer contacts to ensure content &amp; talk track align with expectations and are properly structured. Proactive communication is coordinated to keep the EBR planning on track and include all necessary participants.</w:t>
      </w:r>
    </w:p>
    <w:p w:rsidR="00000000" w:rsidDel="00000000" w:rsidP="00000000" w:rsidRDefault="00000000" w:rsidRPr="00000000" w14:paraId="00000018">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r2r3huhz117u" w:id="8"/>
      <w:bookmarkEnd w:id="8"/>
      <w:r w:rsidDel="00000000" w:rsidR="00000000" w:rsidRPr="00000000">
        <w:rPr>
          <w:rFonts w:ascii="Poppins" w:cs="Poppins" w:eastAsia="Poppins" w:hAnsi="Poppins"/>
          <w:b w:val="1"/>
          <w:bCs w:val="1"/>
          <w:color w:val="06897b"/>
          <w:sz w:val="34"/>
          <w:szCs w:val="34"/>
          <w:rtl w:val="0"/>
        </w:rPr>
        <w:t xml:space="preserve">Sample Agenda: Reviewing ROI, Impact Analysis, and Future Goals</w:t>
      </w:r>
    </w:p>
    <w:p w:rsidR="00000000" w:rsidDel="00000000" w:rsidP="00000000" w:rsidRDefault="00000000" w:rsidRPr="00000000" w14:paraId="00000019">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EBR session focuses on evaluating the customer’s tgndata adoption ROI, its impact on their business, and alignment on future goals. It provides an opportunity to review progress, address challenges, and plan next steps to ensure ongoing value and strategic alignment.</w:t>
      </w:r>
    </w:p>
    <w:p w:rsidR="00000000" w:rsidDel="00000000" w:rsidP="00000000" w:rsidRDefault="00000000" w:rsidRPr="00000000" w14:paraId="0000001A">
      <w:pPr>
        <w:shd w:fill="ffffff" w:val="clear"/>
        <w:spacing w:after="240" w:lineRule="auto"/>
        <w:rPr>
          <w:rFonts w:ascii="Poppins" w:cs="Poppins" w:eastAsia="Poppins" w:hAnsi="Poppins"/>
          <w:b w:val="1"/>
          <w:bCs w:val="1"/>
          <w:color w:val="212529"/>
        </w:rPr>
      </w:pPr>
      <w:r w:rsidDel="00000000" w:rsidR="00000000" w:rsidRPr="00000000">
        <w:rPr>
          <w:rFonts w:ascii="Poppins" w:cs="Poppins" w:eastAsia="Poppins" w:hAnsi="Poppins"/>
          <w:b w:val="1"/>
          <w:bCs w:val="1"/>
          <w:color w:val="212529"/>
          <w:rtl w:val="0"/>
        </w:rPr>
        <w:t xml:space="preserve">Sample Agenda:</w:t>
      </w:r>
    </w:p>
    <w:p w:rsidR="00000000" w:rsidDel="00000000" w:rsidP="00000000" w:rsidRDefault="00000000" w:rsidRPr="00000000" w14:paraId="0000001B">
      <w:pPr>
        <w:numPr>
          <w:ilvl w:val="0"/>
          <w:numId w:val="1"/>
        </w:numPr>
        <w:shd w:fill="ffffff" w:val="clear"/>
        <w:spacing w:after="0" w:afterAutospacing="0" w:lineRule="auto"/>
        <w:ind w:left="720" w:hanging="360"/>
        <w:rPr>
          <w:sz w:val="22"/>
          <w:szCs w:val="22"/>
        </w:rPr>
      </w:pPr>
      <w:r w:rsidDel="00000000" w:rsidR="00000000" w:rsidRPr="00000000">
        <w:rPr>
          <w:rFonts w:ascii="Poppins" w:cs="Poppins" w:eastAsia="Poppins" w:hAnsi="Poppins"/>
          <w:b w:val="1"/>
          <w:bCs w:val="1"/>
          <w:color w:val="212529"/>
          <w:rtl w:val="0"/>
        </w:rPr>
        <w:t xml:space="preserve">Welcome and Introductions</w:t>
      </w:r>
      <w:r w:rsidDel="00000000" w:rsidR="00000000" w:rsidRPr="00000000">
        <w:rPr>
          <w:rFonts w:ascii="Poppins" w:cs="Poppins" w:eastAsia="Poppins" w:hAnsi="Poppins"/>
          <w:color w:val="212529"/>
          <w:rtl w:val="0"/>
        </w:rPr>
        <w:t xml:space="preserve"> – Overview of key attendees and meeting objectives.</w:t>
      </w:r>
    </w:p>
    <w:p w:rsidR="00000000" w:rsidDel="00000000" w:rsidP="00000000" w:rsidRDefault="00000000" w:rsidRPr="00000000" w14:paraId="0000001C">
      <w:pPr>
        <w:numPr>
          <w:ilvl w:val="0"/>
          <w:numId w:val="1"/>
        </w:numPr>
        <w:shd w:fill="ffffff" w:val="clear"/>
        <w:spacing w:after="0" w:afterAutospacing="0" w:lineRule="auto"/>
        <w:ind w:left="720" w:hanging="360"/>
        <w:rPr>
          <w:sz w:val="22"/>
          <w:szCs w:val="22"/>
        </w:rPr>
      </w:pPr>
      <w:r w:rsidDel="00000000" w:rsidR="00000000" w:rsidRPr="00000000">
        <w:rPr>
          <w:rFonts w:ascii="Poppins" w:cs="Poppins" w:eastAsia="Poppins" w:hAnsi="Poppins"/>
          <w:b w:val="1"/>
          <w:bCs w:val="1"/>
          <w:color w:val="212529"/>
          <w:rtl w:val="0"/>
        </w:rPr>
        <w:t xml:space="preserve">Customer Journey</w:t>
      </w:r>
      <w:r w:rsidDel="00000000" w:rsidR="00000000" w:rsidRPr="00000000">
        <w:rPr>
          <w:rFonts w:ascii="Poppins" w:cs="Poppins" w:eastAsia="Poppins" w:hAnsi="Poppins"/>
          <w:color w:val="212529"/>
          <w:rtl w:val="0"/>
        </w:rPr>
        <w:t xml:space="preserve"> – Overview of the reason for purchase and tgndata enablement journey.</w:t>
      </w:r>
    </w:p>
    <w:p w:rsidR="00000000" w:rsidDel="00000000" w:rsidP="00000000" w:rsidRDefault="00000000" w:rsidRPr="00000000" w14:paraId="0000001D">
      <w:pPr>
        <w:numPr>
          <w:ilvl w:val="0"/>
          <w:numId w:val="1"/>
        </w:numPr>
        <w:shd w:fill="ffffff" w:val="clear"/>
        <w:spacing w:after="0" w:afterAutospacing="0" w:lineRule="auto"/>
        <w:ind w:left="720" w:hanging="360"/>
        <w:rPr>
          <w:sz w:val="22"/>
          <w:szCs w:val="22"/>
        </w:rPr>
      </w:pPr>
      <w:r w:rsidDel="00000000" w:rsidR="00000000" w:rsidRPr="00000000">
        <w:rPr>
          <w:rFonts w:ascii="Poppins" w:cs="Poppins" w:eastAsia="Poppins" w:hAnsi="Poppins"/>
          <w:b w:val="1"/>
          <w:bCs w:val="1"/>
          <w:color w:val="212529"/>
          <w:rtl w:val="0"/>
        </w:rPr>
        <w:t xml:space="preserve">ROI &amp; Value Review</w:t>
      </w:r>
      <w:r w:rsidDel="00000000" w:rsidR="00000000" w:rsidRPr="00000000">
        <w:rPr>
          <w:rFonts w:ascii="Poppins" w:cs="Poppins" w:eastAsia="Poppins" w:hAnsi="Poppins"/>
          <w:color w:val="212529"/>
          <w:rtl w:val="0"/>
        </w:rPr>
        <w:t xml:space="preserve"> – Assess the measurable impact of tgndata solutions on business outcomes.</w:t>
      </w:r>
    </w:p>
    <w:p w:rsidR="00000000" w:rsidDel="00000000" w:rsidP="00000000" w:rsidRDefault="00000000" w:rsidRPr="00000000" w14:paraId="0000001E">
      <w:pPr>
        <w:numPr>
          <w:ilvl w:val="0"/>
          <w:numId w:val="1"/>
        </w:numPr>
        <w:shd w:fill="ffffff" w:val="clear"/>
        <w:spacing w:after="0" w:afterAutospacing="0" w:lineRule="auto"/>
        <w:ind w:left="720" w:hanging="360"/>
        <w:rPr>
          <w:sz w:val="22"/>
          <w:szCs w:val="22"/>
        </w:rPr>
      </w:pPr>
      <w:r w:rsidDel="00000000" w:rsidR="00000000" w:rsidRPr="00000000">
        <w:rPr>
          <w:rFonts w:ascii="Poppins" w:cs="Poppins" w:eastAsia="Poppins" w:hAnsi="Poppins"/>
          <w:b w:val="1"/>
          <w:bCs w:val="1"/>
          <w:color w:val="212529"/>
          <w:rtl w:val="0"/>
        </w:rPr>
        <w:t xml:space="preserve">Adoption &amp; Success Metrics</w:t>
      </w:r>
      <w:r w:rsidDel="00000000" w:rsidR="00000000" w:rsidRPr="00000000">
        <w:rPr>
          <w:rFonts w:ascii="Poppins" w:cs="Poppins" w:eastAsia="Poppins" w:hAnsi="Poppins"/>
          <w:color w:val="212529"/>
          <w:rtl w:val="0"/>
        </w:rPr>
        <w:t xml:space="preserve"> – Review current adoption progress and identify areas for improvement.</w:t>
      </w:r>
    </w:p>
    <w:p w:rsidR="00000000" w:rsidDel="00000000" w:rsidP="00000000" w:rsidRDefault="00000000" w:rsidRPr="00000000" w14:paraId="0000001F">
      <w:pPr>
        <w:numPr>
          <w:ilvl w:val="0"/>
          <w:numId w:val="1"/>
        </w:numPr>
        <w:shd w:fill="ffffff" w:val="clear"/>
        <w:spacing w:after="0" w:afterAutospacing="0" w:lineRule="auto"/>
        <w:ind w:left="720" w:hanging="360"/>
        <w:rPr>
          <w:sz w:val="22"/>
          <w:szCs w:val="22"/>
        </w:rPr>
      </w:pPr>
      <w:r w:rsidDel="00000000" w:rsidR="00000000" w:rsidRPr="00000000">
        <w:rPr>
          <w:rFonts w:ascii="Poppins" w:cs="Poppins" w:eastAsia="Poppins" w:hAnsi="Poppins"/>
          <w:b w:val="1"/>
          <w:bCs w:val="1"/>
          <w:color w:val="212529"/>
          <w:rtl w:val="0"/>
        </w:rPr>
        <w:t xml:space="preserve">Future Goals &amp; Roadmap Alignment</w:t>
      </w:r>
      <w:r w:rsidDel="00000000" w:rsidR="00000000" w:rsidRPr="00000000">
        <w:rPr>
          <w:rFonts w:ascii="Poppins" w:cs="Poppins" w:eastAsia="Poppins" w:hAnsi="Poppins"/>
          <w:color w:val="212529"/>
          <w:rtl w:val="0"/>
        </w:rPr>
        <w:t xml:space="preserve"> – Discuss upcoming initiatives, long-term goals, and how tgndata can support them.</w:t>
      </w:r>
    </w:p>
    <w:p w:rsidR="00000000" w:rsidDel="00000000" w:rsidP="00000000" w:rsidRDefault="00000000" w:rsidRPr="00000000" w14:paraId="00000020">
      <w:pPr>
        <w:numPr>
          <w:ilvl w:val="0"/>
          <w:numId w:val="1"/>
        </w:numPr>
        <w:shd w:fill="ffffff" w:val="clear"/>
        <w:spacing w:after="240" w:lineRule="auto"/>
        <w:ind w:left="720" w:hanging="360"/>
        <w:rPr>
          <w:sz w:val="22"/>
          <w:szCs w:val="22"/>
        </w:rPr>
      </w:pPr>
      <w:r w:rsidDel="00000000" w:rsidR="00000000" w:rsidRPr="00000000">
        <w:rPr>
          <w:rFonts w:ascii="Poppins" w:cs="Poppins" w:eastAsia="Poppins" w:hAnsi="Poppins"/>
          <w:b w:val="1"/>
          <w:bCs w:val="1"/>
          <w:color w:val="212529"/>
          <w:rtl w:val="0"/>
        </w:rPr>
        <w:t xml:space="preserve">Action Items and Next Steps</w:t>
      </w:r>
      <w:r w:rsidDel="00000000" w:rsidR="00000000" w:rsidRPr="00000000">
        <w:rPr>
          <w:rFonts w:ascii="Poppins" w:cs="Poppins" w:eastAsia="Poppins" w:hAnsi="Poppins"/>
          <w:color w:val="212529"/>
          <w:rtl w:val="0"/>
        </w:rPr>
        <w:t xml:space="preserve"> – Confirm key takeaways and follow-up actions to drive future success.</w:t>
      </w:r>
    </w:p>
    <w:p w:rsidR="00000000" w:rsidDel="00000000" w:rsidP="00000000" w:rsidRDefault="00000000" w:rsidRPr="00000000" w14:paraId="00000021">
      <w:pPr>
        <w:pStyle w:val="Heading3"/>
        <w:keepNext w:val="0"/>
        <w:keepLines w:val="0"/>
        <w:shd w:fill="ffffff" w:val="clear"/>
        <w:spacing w:before="280" w:line="288" w:lineRule="auto"/>
        <w:rPr>
          <w:rFonts w:ascii="Poppins" w:cs="Poppins" w:eastAsia="Poppins" w:hAnsi="Poppins"/>
          <w:b w:val="1"/>
          <w:bCs w:val="1"/>
          <w:color w:val="212529"/>
          <w:sz w:val="22"/>
          <w:szCs w:val="22"/>
        </w:rPr>
      </w:pPr>
      <w:bookmarkStart w:colFirst="0" w:colLast="0" w:name="_djy22qox9uqx" w:id="9"/>
      <w:bookmarkEnd w:id="9"/>
      <w:r w:rsidDel="00000000" w:rsidR="00000000" w:rsidRPr="00000000">
        <w:rPr>
          <w:rFonts w:ascii="Poppins" w:cs="Poppins" w:eastAsia="Poppins" w:hAnsi="Poppins"/>
          <w:b w:val="1"/>
          <w:bCs w:val="1"/>
          <w:color w:val="212529"/>
          <w:sz w:val="22"/>
          <w:szCs w:val="22"/>
          <w:rtl w:val="0"/>
        </w:rPr>
        <w:t xml:space="preserve">Additional Conversation Points</w:t>
      </w:r>
    </w:p>
    <w:p w:rsidR="00000000" w:rsidDel="00000000" w:rsidP="00000000" w:rsidRDefault="00000000" w:rsidRPr="00000000" w14:paraId="00000022">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These questions facilitate discussion and help uncover key business objectives:</w:t>
      </w:r>
    </w:p>
    <w:p w:rsidR="00000000" w:rsidDel="00000000" w:rsidP="00000000" w:rsidRDefault="00000000" w:rsidRPr="00000000" w14:paraId="00000023">
      <w:pPr>
        <w:numPr>
          <w:ilvl w:val="0"/>
          <w:numId w:val="2"/>
        </w:numPr>
        <w:shd w:fill="ffffff" w:val="clear"/>
        <w:spacing w:after="0" w:afterAutospacing="0" w:before="240" w:lineRule="auto"/>
        <w:ind w:left="720" w:hanging="360"/>
      </w:pPr>
      <w:r w:rsidDel="00000000" w:rsidR="00000000" w:rsidRPr="00000000">
        <w:rPr>
          <w:rFonts w:ascii="Poppins" w:cs="Poppins" w:eastAsia="Poppins" w:hAnsi="Poppins"/>
          <w:color w:val="212529"/>
          <w:rtl w:val="0"/>
        </w:rPr>
        <w:t xml:space="preserve">What are your largest current commercial or pricing initiatives this year?</w:t>
      </w:r>
    </w:p>
    <w:p w:rsidR="00000000" w:rsidDel="00000000" w:rsidP="00000000" w:rsidRDefault="00000000" w:rsidRPr="00000000" w14:paraId="00000024">
      <w:pPr>
        <w:numPr>
          <w:ilvl w:val="0"/>
          <w:numId w:val="2"/>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Looking ahead, what are your top 2-3 priorities for the coming year?</w:t>
      </w:r>
    </w:p>
    <w:p w:rsidR="00000000" w:rsidDel="00000000" w:rsidP="00000000" w:rsidRDefault="00000000" w:rsidRPr="00000000" w14:paraId="00000025">
      <w:pPr>
        <w:numPr>
          <w:ilvl w:val="0"/>
          <w:numId w:val="2"/>
        </w:numPr>
        <w:shd w:fill="ffffff" w:val="clear"/>
        <w:spacing w:after="0" w:afterAutospacing="0" w:before="0" w:beforeAutospacing="0" w:lineRule="auto"/>
        <w:ind w:left="720" w:hanging="360"/>
      </w:pPr>
      <w:r w:rsidDel="00000000" w:rsidR="00000000" w:rsidRPr="00000000">
        <w:rPr>
          <w:rFonts w:ascii="Poppins" w:cs="Poppins" w:eastAsia="Poppins" w:hAnsi="Poppins"/>
          <w:color w:val="212529"/>
          <w:rtl w:val="0"/>
        </w:rPr>
        <w:t xml:space="preserve">What significant changes have occurred in your market or internal strategy since last year (new competitors, categories, pricing model shifts)?</w:t>
      </w:r>
    </w:p>
    <w:p w:rsidR="00000000" w:rsidDel="00000000" w:rsidP="00000000" w:rsidRDefault="00000000" w:rsidRPr="00000000" w14:paraId="00000026">
      <w:pPr>
        <w:numPr>
          <w:ilvl w:val="0"/>
          <w:numId w:val="2"/>
        </w:numPr>
        <w:shd w:fill="ffffff" w:val="clear"/>
        <w:spacing w:after="0" w:afterAutospacing="0" w:before="0" w:beforeAutospacing="0" w:lineRule="auto"/>
        <w:ind w:left="720" w:hanging="360"/>
      </w:pPr>
      <w:r w:rsidDel="00000000" w:rsidR="00000000" w:rsidRPr="00000000">
        <w:rPr>
          <w:rFonts w:ascii="Poppins" w:cs="Poppins" w:eastAsia="Poppins" w:hAnsi="Poppins"/>
          <w:color w:val="212529"/>
          <w:rtl w:val="0"/>
        </w:rPr>
        <w:t xml:space="preserve">Where do you see your pricing or eCommerce organization evolving in the next few years? What are your long-term goals?</w:t>
      </w:r>
    </w:p>
    <w:p w:rsidR="00000000" w:rsidDel="00000000" w:rsidP="00000000" w:rsidRDefault="00000000" w:rsidRPr="00000000" w14:paraId="00000027">
      <w:pPr>
        <w:numPr>
          <w:ilvl w:val="0"/>
          <w:numId w:val="2"/>
        </w:numPr>
        <w:shd w:fill="ffffff" w:val="clear"/>
        <w:spacing w:after="0" w:afterAutospacing="0" w:before="0" w:beforeAutospacing="0" w:lineRule="auto"/>
        <w:ind w:left="720" w:hanging="360"/>
        <w:rPr/>
      </w:pPr>
      <w:r w:rsidDel="00000000" w:rsidR="00000000" w:rsidRPr="00000000">
        <w:rPr>
          <w:rFonts w:ascii="Poppins" w:cs="Poppins" w:eastAsia="Poppins" w:hAnsi="Poppins"/>
          <w:color w:val="212529"/>
          <w:rtl w:val="0"/>
        </w:rPr>
        <w:t xml:space="preserve">Regarding pricing and competitor monitoring, how does your team currently manage analysis and response? Who is involved, and how quickly can decisions be made?</w:t>
      </w:r>
    </w:p>
    <w:p w:rsidR="00000000" w:rsidDel="00000000" w:rsidP="00000000" w:rsidRDefault="00000000" w:rsidRPr="00000000" w14:paraId="00000028">
      <w:pPr>
        <w:numPr>
          <w:ilvl w:val="0"/>
          <w:numId w:val="2"/>
        </w:numPr>
        <w:shd w:fill="ffffff" w:val="clear"/>
        <w:spacing w:after="240" w:before="0" w:beforeAutospacing="0" w:lineRule="auto"/>
        <w:ind w:left="720" w:hanging="360"/>
        <w:rPr/>
      </w:pPr>
      <w:r w:rsidDel="00000000" w:rsidR="00000000" w:rsidRPr="00000000">
        <w:rPr>
          <w:rFonts w:ascii="Poppins" w:cs="Poppins" w:eastAsia="Poppins" w:hAnsi="Poppins"/>
          <w:color w:val="212529"/>
          <w:rtl w:val="0"/>
        </w:rPr>
        <w:t xml:space="preserve">How are competitor actions or market fluctuations affecting your pricing processes and timelines today?</w:t>
      </w:r>
    </w:p>
    <w:p w:rsidR="00000000" w:rsidDel="00000000" w:rsidP="00000000" w:rsidRDefault="00000000" w:rsidRPr="00000000" w14:paraId="00000029">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xblb15iu39lj" w:id="10"/>
      <w:bookmarkEnd w:id="10"/>
      <w:r w:rsidDel="00000000" w:rsidR="00000000" w:rsidRPr="00000000">
        <w:rPr>
          <w:rFonts w:ascii="Poppins" w:cs="Poppins" w:eastAsia="Poppins" w:hAnsi="Poppins"/>
          <w:b w:val="1"/>
          <w:bCs w:val="1"/>
          <w:color w:val="06897b"/>
          <w:sz w:val="34"/>
          <w:szCs w:val="34"/>
          <w:rtl w:val="0"/>
        </w:rPr>
        <w:t xml:space="preserve">EBR Length</w:t>
      </w:r>
    </w:p>
    <w:p w:rsidR="00000000" w:rsidDel="00000000" w:rsidP="00000000" w:rsidRDefault="00000000" w:rsidRPr="00000000" w14:paraId="0000002A">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recommended EBR length is typically 90 minutes; however, this is flexible based on customer needs and content. An EBR should provide time for key focus areas and customer objectives, ensuring maximum benefit to all involved.</w:t>
      </w:r>
    </w:p>
    <w:p w:rsidR="00000000" w:rsidDel="00000000" w:rsidP="00000000" w:rsidRDefault="00000000" w:rsidRPr="00000000" w14:paraId="0000002B">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rr6imk2qm9bw" w:id="11"/>
      <w:bookmarkEnd w:id="11"/>
      <w:r w:rsidDel="00000000" w:rsidR="00000000" w:rsidRPr="00000000">
        <w:rPr>
          <w:rFonts w:ascii="Poppins" w:cs="Poppins" w:eastAsia="Poppins" w:hAnsi="Poppins"/>
          <w:b w:val="1"/>
          <w:bCs w:val="1"/>
          <w:color w:val="06897b"/>
          <w:sz w:val="34"/>
          <w:szCs w:val="34"/>
          <w:rtl w:val="0"/>
        </w:rPr>
        <w:t xml:space="preserve">FAQ</w:t>
      </w:r>
    </w:p>
    <w:p w:rsidR="00000000" w:rsidDel="00000000" w:rsidP="00000000" w:rsidRDefault="00000000" w:rsidRPr="00000000" w14:paraId="0000002C">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Q: Is this EBR just another sales pitch for renewal?</w:t>
      </w:r>
      <w:r w:rsidDel="00000000" w:rsidR="00000000" w:rsidRPr="00000000">
        <w:rPr>
          <w:rFonts w:ascii="Poppins" w:cs="Poppins" w:eastAsia="Poppins" w:hAnsi="Poppins"/>
          <w:color w:val="212529"/>
          <w:rtl w:val="0"/>
        </w:rPr>
        <w:t xml:space="preserve"> A: No, it is not. The EBR is a strategic touchpoint focused on aligning tgndata with the customer’s organizational objectives, not a renewal conversation. Renewal discussions are separate and follow a different process.</w:t>
      </w:r>
    </w:p>
    <w:p w:rsidR="00000000" w:rsidDel="00000000" w:rsidP="00000000" w:rsidRDefault="00000000" w:rsidRPr="00000000" w14:paraId="0000002D">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Q: Who should attend the EBR from the customer side?</w:t>
      </w:r>
      <w:r w:rsidDel="00000000" w:rsidR="00000000" w:rsidRPr="00000000">
        <w:rPr>
          <w:rFonts w:ascii="Poppins" w:cs="Poppins" w:eastAsia="Poppins" w:hAnsi="Poppins"/>
          <w:color w:val="212529"/>
          <w:rtl w:val="0"/>
        </w:rPr>
        <w:t xml:space="preserve"> A: Key stakeholders who influence or oversee strategic initiatives should attend, ensuring the session aligns tgndata solutions with long-term objectives.</w:t>
      </w:r>
    </w:p>
    <w:p w:rsidR="00000000" w:rsidDel="00000000" w:rsidP="00000000" w:rsidRDefault="00000000" w:rsidRPr="00000000" w14:paraId="0000002E">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Q: How is an EBR different from regular cadence calls?</w:t>
      </w:r>
      <w:r w:rsidDel="00000000" w:rsidR="00000000" w:rsidRPr="00000000">
        <w:rPr>
          <w:rFonts w:ascii="Poppins" w:cs="Poppins" w:eastAsia="Poppins" w:hAnsi="Poppins"/>
          <w:color w:val="212529"/>
          <w:rtl w:val="0"/>
        </w:rPr>
        <w:t xml:space="preserve"> A: Cadence calls are often project-focused, whereas an EBR provides a strategic review of long-term goals, current successes, and future roadmaps, involving leadership from both sides.</w:t>
      </w:r>
    </w:p>
    <w:p w:rsidR="00000000" w:rsidDel="00000000" w:rsidP="00000000" w:rsidRDefault="00000000" w:rsidRPr="00000000" w14:paraId="0000002F">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Q: How are feature requests handled during the EBR?</w:t>
      </w:r>
      <w:r w:rsidDel="00000000" w:rsidR="00000000" w:rsidRPr="00000000">
        <w:rPr>
          <w:rFonts w:ascii="Poppins" w:cs="Poppins" w:eastAsia="Poppins" w:hAnsi="Poppins"/>
          <w:color w:val="212529"/>
          <w:rtl w:val="0"/>
        </w:rPr>
        <w:t xml:space="preserve"> A: The EBR focuses on strategic goals, but notable feature requests aligning with objectives may be acknowledged. In-depth feature discussions are usually handled separately.</w:t>
      </w:r>
    </w:p>
    <w:p w:rsidR="00000000" w:rsidDel="00000000" w:rsidP="00000000" w:rsidRDefault="00000000" w:rsidRPr="00000000" w14:paraId="00000030">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Q: What kind of preparation should a customer do before the EBR?</w:t>
      </w:r>
      <w:r w:rsidDel="00000000" w:rsidR="00000000" w:rsidRPr="00000000">
        <w:rPr>
          <w:rFonts w:ascii="Poppins" w:cs="Poppins" w:eastAsia="Poppins" w:hAnsi="Poppins"/>
          <w:color w:val="212529"/>
          <w:rtl w:val="0"/>
        </w:rPr>
        <w:t xml:space="preserve"> A: Reviewing tgndata usage and identifying upcoming initiatives or goals helps ensure a productive discussion on how tgndata can best support objectives.</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anastasopoulos@tgn-solution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