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288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bookmarkStart w:colFirst="0" w:colLast="0" w:name="_69gozqh0ir37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2745"/>
        <w:gridCol w:w="2115"/>
        <w:tblGridChange w:id="0">
          <w:tblGrid>
            <w:gridCol w:w="3210"/>
            <w:gridCol w:w="274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shd w:fill="ffffff" w:val="clear"/>
              <w:spacing w:after="0" w:before="0" w:line="240" w:lineRule="auto"/>
              <w:jc w:val="center"/>
              <w:rPr/>
            </w:pPr>
            <w:bookmarkStart w:colFirst="0" w:colLast="0" w:name="_rymyo9o0lzna" w:id="1"/>
            <w:bookmarkEnd w:id="1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Last Updated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shd w:fill="ffffff" w:val="clear"/>
              <w:spacing w:after="0" w:before="0"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bookmarkStart w:colFirst="0" w:colLast="0" w:name="_wuy9nxy36jx3" w:id="2"/>
            <w:bookmarkEnd w:id="2"/>
            <w:hyperlink r:id="rId6">
              <w:r w:rsidDel="00000000" w:rsidR="00000000" w:rsidRPr="00000000">
                <w:rPr>
                  <w:rFonts w:ascii="Poppins" w:cs="Poppins" w:eastAsia="Poppins" w:hAnsi="Poppins"/>
                  <w:b w:val="1"/>
                  <w:bCs w:val="1"/>
                  <w:color w:val="0000ee"/>
                  <w:sz w:val="20"/>
                  <w:szCs w:val="20"/>
                  <w:u w:val="single"/>
                  <w:rtl w:val="0"/>
                </w:rPr>
                <w:t xml:space="preserve">Dimitris Anastasopoulos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hd w:fill="ffffff" w:val="clear"/>
              <w:spacing w:after="0" w:before="0"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bookmarkStart w:colFirst="0" w:colLast="0" w:name="_5rhsrydweknf" w:id="3"/>
            <w:bookmarkEnd w:id="3"/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sdt>
              <w:sdtPr>
                <w:alias w:val="Page Status"/>
                <w:id w:val="-434650551"/>
                <w:dropDownList w:lastValue="Verified">
                  <w:listItem w:displayText="Draft" w:value="Draft"/>
                  <w:listItem w:displayText="Verified" w:value="Verified"/>
                </w:dropDownList>
              </w:sdtPr>
              <w:sdtContent>
                <w:r w:rsidDel="00000000" w:rsidR="00000000" w:rsidRPr="00000000">
                  <w:rPr>
                    <w:rFonts w:ascii="Poppins" w:cs="Poppins" w:eastAsia="Poppins" w:hAnsi="Poppins"/>
                    <w:b w:val="1"/>
                    <w:bCs w:val="1"/>
                    <w:color w:val="0a53a8"/>
                    <w:sz w:val="20"/>
                    <w:szCs w:val="20"/>
                    <w:shd w:fill="bfe1f6" w:val="clear"/>
                  </w:rPr>
                  <w:t xml:space="preserve">Verified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line="288" w:lineRule="auto"/>
        <w:rPr>
          <w:rFonts w:ascii="Poppins" w:cs="Poppins" w:eastAsia="Poppins" w:hAnsi="Poppins"/>
          <w:b w:val="1"/>
          <w:bCs w:val="1"/>
          <w:color w:val="06897b"/>
          <w:sz w:val="34"/>
          <w:szCs w:val="34"/>
        </w:rPr>
      </w:pPr>
      <w:bookmarkStart w:colFirst="0" w:colLast="0" w:name="_lis2qhs4vurd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6897b"/>
          <w:sz w:val="34"/>
          <w:szCs w:val="34"/>
          <w:rtl w:val="0"/>
        </w:rPr>
        <w:t xml:space="preserve">Types of Risk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rFonts w:ascii="Poppins" w:cs="Poppins" w:eastAsia="Poppins" w:hAnsi="Poppins"/>
          <w:color w:val="212529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T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hese as the most common types of risk in an account: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Cost/Budget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Over License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Acquisition by larger entity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Downsizing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ROI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(the customer doesn’t feel they’re getting value)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Not a priority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Lack of a plan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Lack of leadership support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Competitive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Product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(the product does do what they want or meets their needs or isn’t mature enough)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Lack of Engagement/Loss of Champion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80" w:line="288" w:lineRule="auto"/>
        <w:rPr>
          <w:rFonts w:ascii="Poppins" w:cs="Poppins" w:eastAsia="Poppins" w:hAnsi="Poppins"/>
          <w:color w:val="212529"/>
        </w:rPr>
      </w:pPr>
      <w:bookmarkStart w:colFirst="0" w:colLast="0" w:name="_rjlbcymr5ewv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6897b"/>
          <w:sz w:val="34"/>
          <w:szCs w:val="34"/>
          <w:rtl w:val="0"/>
        </w:rPr>
        <w:t xml:space="preserve">Discovery into the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rFonts w:ascii="Poppins" w:cs="Poppins" w:eastAsia="Poppins" w:hAnsi="Poppins"/>
          <w:color w:val="212529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Based on the identified type of risk, the CSM can use some of the following questions to dig a bit deeper into the risk, that may help identify mitigation options: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ljf884hv9tps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Cost/Budget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Over License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Do you know how to regularly prune monitored products/websites users?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Are you aware of our other plans?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Acquisition by larger entity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What is the integration plan and timeline with the new entity?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Will you be required to adopt their toolchain?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What tools does the new entity use?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Downsizing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Do you anticipate a re-hiring of laid-off workers? If so, what's the timeline?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Do you have a growth plan for adding products over time?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72npdle28cng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ROI (the customer doesn’t feel they’re getting value)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Not a priority / Lack of leadership support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What are your pricing priorities? How can we align with those?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Lack of a plan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lineRule="auto"/>
        <w:ind w:left="144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How can we help you adopt greater use and derive greater value from tgndata?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Where do you feel you're getting the most value out of tgndata right now?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Where do you feel you're getting the least value out of tgndata right now?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w90aqy43qokh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Competitive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Where do you feel other products are stronger or provide more value than tgndata?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Is this a pricing issue or a feature issue?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wj4rrq6hd5n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Product (the product does not do what they want or meets their needs or isn’t mature enough)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Have you worked with your CSM on a prioritized list of features?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What feature(s) do you need **right now** to continue using tgndata?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ad7ucovbvybh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Lack of Engagement/Loss of Champion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Who is in charge of maintaining tgndata going forward?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color w:val="212529"/>
          <w:shd w:fill="f8f9fa" w:val="clear"/>
          <w:rtl w:val="0"/>
        </w:rPr>
        <w:t xml:space="preserve">Is there someone in your organization in charge of tool adoption or change management?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80" w:line="288" w:lineRule="auto"/>
        <w:rPr>
          <w:rFonts w:ascii="Poppins" w:cs="Poppins" w:eastAsia="Poppins" w:hAnsi="Poppins"/>
          <w:b w:val="1"/>
          <w:bCs w:val="1"/>
          <w:color w:val="06897b"/>
          <w:sz w:val="34"/>
          <w:szCs w:val="34"/>
        </w:rPr>
      </w:pPr>
      <w:bookmarkStart w:colFirst="0" w:colLast="0" w:name="_7yqltuqv2xso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6897b"/>
          <w:sz w:val="34"/>
          <w:szCs w:val="34"/>
          <w:rtl w:val="0"/>
        </w:rPr>
        <w:t xml:space="preserve">Mitigation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rFonts w:ascii="Poppins" w:cs="Poppins" w:eastAsia="Poppins" w:hAnsi="Poppins"/>
          <w:color w:val="212529"/>
        </w:rPr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Once we know the risk and done some discovery into that risk, we have some options available to help mitigate that risk: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vtb3wgly35ho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Cost/Budget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Show cost efficiency vs. alternatives: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Demonstrate that tgndata consolidates multiple needs (price monitoring, assortment tracking, promotions analysis) into one source of truth — often replacing several partial tools or manual efforts.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Highlight operational savings: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Quantify the hours saved by automating data collection and reporting.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Position as cost avoidance: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Emphasize how missing or delayed pricing data leads to revenue leakage or margin loss, far outweighing the subscription cost.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Offer tier flexibility: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When needed, propose temporary scaling down in monitored scope or feature access to keep continuity and prevent churn.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6lomusu9tl9e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ROI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Reinforce ROI narratives: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Use recent case studies or success metrics (e.g., “Customers typically identify 3–5% pricing misalignments in their first 90 days”).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Build a personalized ROI summary: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CSMs can use account data (alerts, reports, decisions made) to show how tgndata has already delivered measurable savings or competitive advantage.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Collaborate with Product Marketing: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Use visual or executive-ready ROI slides that link customer goals to achieved outcomes (faster reaction time, improved price index, better promo planning).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Revisit Success Plan outcomes: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Tie daily activities back to original goals and show visible progress.  Adoption alone is not enough if outcomes aren’t recognized.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1pc4gsn8rhid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Competitive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Understand the “why,” not just the “who.”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Is the competitor cheaper, faster, or pitching a specific feature gap? Address that directly rather than comparing logos.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Leverage Product Marketing resources: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Use internal battle cards or comparison sheets highlighting tgndata’s strengths (data accuracy, custom matching, flexible integrations, and deep market coverage).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Validate data quality differences: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Offer to benchmark specific categories or shops head-to-head.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Reinforce partnership value: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Emphasize responsiveness, customization, and reliability — areas where internal tools or smaller vendors often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x44mqackm3dw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Product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Identify the exact gap: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Through discovery, determine if the issue is about functionality, data coverage, or usability.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Differentiate between maturity and feature gap: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If the customer isn’t aware of existing capabilities, schedule a targeted enablement session.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Engage Product or Data teams when needed: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Offer roadmap visibility or connect the customer directly with a Product Manager for transparency and feedback.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k5sqlt5xvx8f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Product Usage (not using features &amp; functionality in their license plan)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Offer workflow-specific workshops: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Show how to activate underused features (e.g., setting up assortment coverage alerts, or leveraging historical trends).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Connect unused modules to business goals: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For example, if the customer wants margin protection, show how promo tracking or availability monitoring contributes to that goal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Highlight missed opportunities:</w:t>
      </w: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 Use data comparisons to illustrate what insights they’re currently not leveraging (e.g., “Your competitors ran 15 promotions you didn’t see last quarter”).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before="280" w:line="288" w:lineRule="auto"/>
        <w:rPr>
          <w:rFonts w:ascii="Poppins" w:cs="Poppins" w:eastAsia="Poppins" w:hAnsi="Poppins"/>
          <w:b w:val="1"/>
          <w:bCs w:val="1"/>
          <w:color w:val="212529"/>
          <w:sz w:val="22"/>
          <w:szCs w:val="22"/>
        </w:rPr>
      </w:pPr>
      <w:bookmarkStart w:colFirst="0" w:colLast="0" w:name="_hng1973hvp6y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sz w:val="22"/>
          <w:szCs w:val="22"/>
          <w:rtl w:val="0"/>
        </w:rPr>
        <w:t xml:space="preserve">Lack of engagement/Loss of champion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For low engagement: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Revisit communication rhythm — check if cadence or format needs adjustment.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Share short, tangible insights from their own data to re-spark interest (“This week your average price gap with X retailer closed by 4%”).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Offer quick success recaps to remind them of achieved value.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212529"/>
          <w:rtl w:val="0"/>
        </w:rPr>
        <w:t xml:space="preserve">For loss of champion: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Work with Sales to identify the replacement early and onboard them fast with a condensed training + success summary.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</w:pPr>
      <w:r w:rsidDel="00000000" w:rsidR="00000000" w:rsidRPr="00000000">
        <w:rPr>
          <w:rFonts w:ascii="Poppins" w:cs="Poppins" w:eastAsia="Poppins" w:hAnsi="Poppins"/>
          <w:color w:val="212529"/>
          <w:rtl w:val="0"/>
        </w:rPr>
        <w:t xml:space="preserve">Find active users who already value tgndata and elevate them as new advocates.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nastasopoulos@tgn-solution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